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outlineLvl w:val="0"/>
        <w:rPr>
          <w:rFonts w:ascii="宋体" w:hAnsi="宋体" w:eastAsia="宋体" w:cs="宋体"/>
          <w:b/>
          <w:bCs/>
          <w:color w:val="333333"/>
          <w:kern w:val="36"/>
          <w:sz w:val="48"/>
          <w:szCs w:val="48"/>
        </w:rPr>
      </w:pPr>
      <w:r>
        <w:rPr>
          <w:rFonts w:hint="eastAsia" w:ascii="宋体" w:hAnsi="宋体" w:eastAsia="宋体" w:cs="宋体"/>
          <w:b/>
          <w:bCs/>
          <w:color w:val="333333"/>
          <w:kern w:val="36"/>
          <w:sz w:val="48"/>
          <w:szCs w:val="48"/>
        </w:rPr>
        <w:t>政府采购项目采购需求（</w:t>
      </w:r>
      <w:r>
        <w:rPr>
          <w:rFonts w:hint="eastAsia" w:ascii="宋体" w:hAnsi="宋体" w:eastAsia="宋体" w:cs="宋体"/>
          <w:b/>
          <w:bCs/>
          <w:color w:val="333333"/>
          <w:kern w:val="36"/>
          <w:sz w:val="48"/>
          <w:szCs w:val="48"/>
          <w:lang w:val="en-US" w:eastAsia="zh-CN"/>
        </w:rPr>
        <w:t>服务</w:t>
      </w:r>
      <w:r>
        <w:rPr>
          <w:rFonts w:ascii="宋体" w:hAnsi="宋体" w:eastAsia="宋体" w:cs="宋体"/>
          <w:b/>
          <w:bCs/>
          <w:color w:val="333333"/>
          <w:kern w:val="36"/>
          <w:sz w:val="48"/>
          <w:szCs w:val="48"/>
        </w:rPr>
        <w:t>类</w:t>
      </w:r>
      <w:r>
        <w:rPr>
          <w:rFonts w:hint="eastAsia" w:ascii="宋体" w:hAnsi="宋体" w:eastAsia="宋体" w:cs="宋体"/>
          <w:b/>
          <w:bCs/>
          <w:color w:val="333333"/>
          <w:kern w:val="36"/>
          <w:sz w:val="48"/>
          <w:szCs w:val="48"/>
        </w:rPr>
        <w:t>）</w:t>
      </w:r>
    </w:p>
    <w:p>
      <w:pPr>
        <w:widowControl/>
        <w:shd w:val="clear" w:color="auto" w:fill="FFFFFF"/>
        <w:spacing w:line="480" w:lineRule="auto"/>
        <w:jc w:val="right"/>
        <w:outlineLvl w:val="2"/>
        <w:rPr>
          <w:rFonts w:ascii="宋体" w:hAnsi="宋体" w:eastAsia="宋体" w:cs="宋体"/>
          <w:color w:val="333333"/>
          <w:kern w:val="0"/>
          <w:sz w:val="27"/>
          <w:szCs w:val="27"/>
        </w:rPr>
      </w:pPr>
    </w:p>
    <w:p>
      <w:pPr>
        <w:widowControl/>
        <w:shd w:val="clear" w:color="auto" w:fill="FFFFFF"/>
        <w:spacing w:line="480" w:lineRule="auto"/>
        <w:ind w:right="1080"/>
        <w:outlineLvl w:val="2"/>
        <w:rPr>
          <w:rFonts w:ascii="宋体" w:hAnsi="宋体" w:eastAsia="宋体" w:cs="宋体"/>
          <w:color w:val="auto"/>
          <w:kern w:val="0"/>
          <w:sz w:val="27"/>
          <w:szCs w:val="27"/>
        </w:rPr>
      </w:pPr>
      <w:r>
        <w:rPr>
          <w:rFonts w:hint="eastAsia" w:ascii="宋体" w:hAnsi="宋体" w:eastAsia="宋体" w:cs="宋体"/>
          <w:color w:val="auto"/>
          <w:kern w:val="0"/>
          <w:sz w:val="27"/>
          <w:szCs w:val="27"/>
        </w:rPr>
        <w:t>采购单位（盖章）：西华</w:t>
      </w:r>
      <w:r>
        <w:rPr>
          <w:rFonts w:hint="eastAsia" w:ascii="宋体" w:hAnsi="宋体" w:eastAsia="宋体" w:cs="宋体"/>
          <w:color w:val="auto"/>
          <w:kern w:val="0"/>
          <w:sz w:val="27"/>
          <w:szCs w:val="27"/>
          <w:lang w:val="en-US" w:eastAsia="zh-CN"/>
        </w:rPr>
        <w:t>大学</w:t>
      </w:r>
      <w:r>
        <w:rPr>
          <w:rFonts w:hint="eastAsia" w:ascii="宋体" w:hAnsi="宋体" w:eastAsia="宋体" w:cs="宋体"/>
          <w:color w:val="auto"/>
          <w:kern w:val="0"/>
          <w:sz w:val="27"/>
          <w:szCs w:val="27"/>
        </w:rPr>
        <w:fldChar w:fldCharType="begin"/>
      </w:r>
      <w:r>
        <w:rPr>
          <w:rFonts w:hint="eastAsia" w:ascii="宋体" w:hAnsi="宋体" w:eastAsia="宋体" w:cs="宋体"/>
          <w:color w:val="auto"/>
          <w:kern w:val="0"/>
          <w:sz w:val="27"/>
          <w:szCs w:val="27"/>
        </w:rPr>
        <w:instrText xml:space="preserve"> HYPERLINK "http://seie.xhu.edu.cn/" \t "http://www.xhu.edu.cn/7516/_blank" </w:instrText>
      </w:r>
      <w:r>
        <w:rPr>
          <w:rFonts w:hint="eastAsia" w:ascii="宋体" w:hAnsi="宋体" w:eastAsia="宋体" w:cs="宋体"/>
          <w:color w:val="auto"/>
          <w:kern w:val="0"/>
          <w:sz w:val="27"/>
          <w:szCs w:val="27"/>
        </w:rPr>
        <w:fldChar w:fldCharType="separate"/>
      </w:r>
      <w:r>
        <w:rPr>
          <w:rFonts w:hint="eastAsia" w:ascii="宋体" w:hAnsi="宋体" w:eastAsia="宋体" w:cs="宋体"/>
          <w:color w:val="auto"/>
          <w:kern w:val="0"/>
          <w:sz w:val="27"/>
          <w:szCs w:val="27"/>
          <w:lang w:eastAsia="zh-CN"/>
        </w:rPr>
        <w:t>电气与电子信息学院</w:t>
      </w:r>
      <w:r>
        <w:rPr>
          <w:rFonts w:hint="default" w:ascii="宋体" w:hAnsi="宋体" w:eastAsia="宋体" w:cs="宋体"/>
          <w:color w:val="auto"/>
          <w:kern w:val="0"/>
          <w:sz w:val="27"/>
          <w:szCs w:val="27"/>
        </w:rPr>
        <w:fldChar w:fldCharType="end"/>
      </w:r>
    </w:p>
    <w:p>
      <w:pPr>
        <w:widowControl/>
        <w:shd w:val="clear" w:color="auto" w:fill="FFFFFF"/>
        <w:spacing w:line="480" w:lineRule="auto"/>
        <w:outlineLvl w:val="2"/>
        <w:rPr>
          <w:rFonts w:ascii="宋体" w:hAnsi="宋体" w:eastAsia="宋体" w:cs="宋体"/>
          <w:b/>
          <w:bCs/>
          <w:color w:val="auto"/>
          <w:kern w:val="0"/>
          <w:sz w:val="27"/>
          <w:szCs w:val="27"/>
        </w:rPr>
      </w:pPr>
      <w:r>
        <w:rPr>
          <w:rFonts w:hint="eastAsia" w:ascii="宋体" w:hAnsi="宋体" w:eastAsia="宋体" w:cs="宋体"/>
          <w:b/>
          <w:bCs/>
          <w:color w:val="auto"/>
          <w:kern w:val="0"/>
          <w:sz w:val="27"/>
          <w:szCs w:val="27"/>
        </w:rPr>
        <w:t>一、项目总体情况</w:t>
      </w:r>
    </w:p>
    <w:p>
      <w:pPr>
        <w:widowControl/>
        <w:shd w:val="clear" w:color="auto" w:fill="FFFFFF"/>
        <w:spacing w:line="480" w:lineRule="auto"/>
        <w:ind w:firstLine="420"/>
        <w:rPr>
          <w:rFonts w:hint="eastAsia"/>
          <w:sz w:val="24"/>
        </w:rPr>
      </w:pPr>
      <w:r>
        <w:rPr>
          <w:rFonts w:hint="eastAsia" w:ascii="宋体" w:hAnsi="宋体" w:eastAsia="宋体" w:cs="宋体"/>
          <w:color w:val="333333"/>
          <w:kern w:val="0"/>
          <w:sz w:val="24"/>
          <w:szCs w:val="24"/>
        </w:rPr>
        <w:t>（一）项目名称：</w:t>
      </w:r>
      <w:r>
        <w:rPr>
          <w:rFonts w:hint="eastAsia"/>
          <w:sz w:val="24"/>
        </w:rPr>
        <w:t>电磁场的场分布虚拟仿真实验</w:t>
      </w:r>
    </w:p>
    <w:p>
      <w:pPr>
        <w:widowControl/>
        <w:shd w:val="clear" w:color="auto" w:fill="FFFFFF"/>
        <w:spacing w:line="480" w:lineRule="auto"/>
        <w:ind w:firstLine="42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 xml:space="preserve">（二）项目所属年度： </w:t>
      </w:r>
      <w:r>
        <w:rPr>
          <w:rFonts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4</w:t>
      </w:r>
    </w:p>
    <w:p>
      <w:pPr>
        <w:widowControl/>
        <w:shd w:val="clear" w:color="auto" w:fill="FFFFFF"/>
        <w:spacing w:line="480" w:lineRule="auto"/>
        <w:ind w:firstLine="420"/>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（三）项目所属分类：</w:t>
      </w:r>
      <w:r>
        <w:rPr>
          <w:rFonts w:hint="eastAsia" w:ascii="宋体" w:hAnsi="宋体" w:eastAsia="宋体" w:cs="宋体"/>
          <w:color w:val="333333"/>
          <w:kern w:val="0"/>
          <w:sz w:val="24"/>
          <w:szCs w:val="24"/>
          <w:lang w:val="en-US" w:eastAsia="zh-CN"/>
        </w:rPr>
        <w:t>服务类</w:t>
      </w:r>
      <w:bookmarkStart w:id="0" w:name="_GoBack"/>
      <w:bookmarkEnd w:id="0"/>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（四）预算金额（元）：</w:t>
      </w:r>
      <w:r>
        <w:rPr>
          <w:rFonts w:hint="eastAsia" w:ascii="宋体" w:hAnsi="宋体" w:eastAsia="宋体" w:cs="宋体"/>
          <w:color w:val="333333"/>
          <w:kern w:val="0"/>
          <w:sz w:val="24"/>
          <w:szCs w:val="24"/>
          <w:lang w:val="en-US" w:eastAsia="zh-CN"/>
        </w:rPr>
        <w:t>18</w:t>
      </w:r>
      <w:r>
        <w:rPr>
          <w:rFonts w:ascii="宋体" w:hAnsi="宋体" w:eastAsia="宋体" w:cs="宋体"/>
          <w:color w:val="333333"/>
          <w:kern w:val="0"/>
          <w:sz w:val="24"/>
          <w:szCs w:val="24"/>
        </w:rPr>
        <w:t>0000.00</w:t>
      </w:r>
      <w:r>
        <w:rPr>
          <w:rFonts w:hint="eastAsia" w:ascii="宋体" w:hAnsi="宋体" w:eastAsia="宋体" w:cs="宋体"/>
          <w:color w:val="333333"/>
          <w:kern w:val="0"/>
          <w:sz w:val="24"/>
          <w:szCs w:val="24"/>
        </w:rPr>
        <w:t>元 ，大写（人民币）：</w:t>
      </w:r>
      <w:r>
        <w:rPr>
          <w:rFonts w:hint="eastAsia" w:ascii="宋体" w:hAnsi="宋体" w:eastAsia="宋体" w:cs="宋体"/>
          <w:color w:val="333333"/>
          <w:kern w:val="0"/>
          <w:sz w:val="24"/>
          <w:szCs w:val="24"/>
          <w:lang w:val="en-US" w:eastAsia="zh-CN"/>
        </w:rPr>
        <w:t>壹</w:t>
      </w:r>
      <w:r>
        <w:rPr>
          <w:rFonts w:ascii="宋体" w:hAnsi="宋体" w:eastAsia="宋体" w:cs="宋体"/>
          <w:color w:val="333333"/>
          <w:kern w:val="0"/>
          <w:sz w:val="24"/>
          <w:szCs w:val="24"/>
        </w:rPr>
        <w:t>拾</w:t>
      </w:r>
      <w:r>
        <w:rPr>
          <w:rFonts w:hint="eastAsia" w:ascii="宋体" w:hAnsi="宋体" w:eastAsia="宋体" w:cs="宋体"/>
          <w:color w:val="333333"/>
          <w:kern w:val="0"/>
          <w:sz w:val="24"/>
          <w:szCs w:val="24"/>
          <w:lang w:val="en-US" w:eastAsia="zh-CN"/>
        </w:rPr>
        <w:t>捌</w:t>
      </w:r>
      <w:r>
        <w:rPr>
          <w:rFonts w:ascii="宋体" w:hAnsi="宋体" w:eastAsia="宋体" w:cs="宋体"/>
          <w:color w:val="333333"/>
          <w:kern w:val="0"/>
          <w:sz w:val="24"/>
          <w:szCs w:val="24"/>
        </w:rPr>
        <w:t>万元整</w:t>
      </w:r>
    </w:p>
    <w:p>
      <w:pPr>
        <w:widowControl/>
        <w:shd w:val="clear" w:color="auto" w:fill="FFFFFF"/>
        <w:spacing w:line="480" w:lineRule="auto"/>
        <w:ind w:firstLine="1200" w:firstLineChars="500"/>
        <w:rPr>
          <w:rFonts w:ascii="宋体" w:hAnsi="宋体" w:eastAsia="宋体" w:cs="宋体"/>
          <w:color w:val="333333"/>
          <w:kern w:val="0"/>
          <w:sz w:val="24"/>
          <w:szCs w:val="24"/>
        </w:rPr>
      </w:pPr>
      <w:r>
        <w:rPr>
          <w:rFonts w:hint="eastAsia" w:ascii="宋体" w:hAnsi="宋体" w:eastAsia="宋体" w:cs="宋体"/>
          <w:color w:val="333333"/>
          <w:kern w:val="0"/>
          <w:sz w:val="24"/>
          <w:szCs w:val="24"/>
        </w:rPr>
        <w:t>最高限价（元）：</w:t>
      </w:r>
      <w:r>
        <w:rPr>
          <w:rFonts w:hint="eastAsia" w:ascii="宋体" w:hAnsi="宋体" w:eastAsia="宋体" w:cs="宋体"/>
          <w:color w:val="333333"/>
          <w:kern w:val="0"/>
          <w:sz w:val="24"/>
          <w:szCs w:val="24"/>
          <w:lang w:val="en-US" w:eastAsia="zh-CN"/>
        </w:rPr>
        <w:t>18</w:t>
      </w:r>
      <w:r>
        <w:rPr>
          <w:rFonts w:ascii="宋体" w:hAnsi="宋体" w:eastAsia="宋体" w:cs="宋体"/>
          <w:color w:val="333333"/>
          <w:kern w:val="0"/>
          <w:sz w:val="24"/>
          <w:szCs w:val="24"/>
        </w:rPr>
        <w:t>0000.00</w:t>
      </w:r>
      <w:r>
        <w:rPr>
          <w:rFonts w:hint="eastAsia" w:ascii="宋体" w:hAnsi="宋体" w:eastAsia="宋体" w:cs="宋体"/>
          <w:kern w:val="0"/>
          <w:sz w:val="24"/>
          <w:szCs w:val="24"/>
        </w:rPr>
        <w:t>元</w:t>
      </w:r>
      <w:r>
        <w:rPr>
          <w:rFonts w:hint="eastAsia" w:ascii="宋体" w:hAnsi="宋体" w:eastAsia="宋体" w:cs="宋体"/>
          <w:color w:val="333333"/>
          <w:kern w:val="0"/>
          <w:sz w:val="24"/>
          <w:szCs w:val="24"/>
        </w:rPr>
        <w:t>， 大写（人民币）：</w:t>
      </w:r>
      <w:r>
        <w:rPr>
          <w:rFonts w:hint="eastAsia" w:ascii="宋体" w:hAnsi="宋体" w:eastAsia="宋体" w:cs="宋体"/>
          <w:color w:val="333333"/>
          <w:kern w:val="0"/>
          <w:sz w:val="24"/>
          <w:szCs w:val="24"/>
          <w:lang w:val="en-US" w:eastAsia="zh-CN"/>
        </w:rPr>
        <w:t>壹</w:t>
      </w:r>
      <w:r>
        <w:rPr>
          <w:rFonts w:ascii="宋体" w:hAnsi="宋体" w:eastAsia="宋体" w:cs="宋体"/>
          <w:color w:val="333333"/>
          <w:kern w:val="0"/>
          <w:sz w:val="24"/>
          <w:szCs w:val="24"/>
        </w:rPr>
        <w:t>拾</w:t>
      </w:r>
      <w:r>
        <w:rPr>
          <w:rFonts w:hint="eastAsia" w:ascii="宋体" w:hAnsi="宋体" w:eastAsia="宋体" w:cs="宋体"/>
          <w:color w:val="333333"/>
          <w:kern w:val="0"/>
          <w:sz w:val="24"/>
          <w:szCs w:val="24"/>
          <w:lang w:val="en-US" w:eastAsia="zh-CN"/>
        </w:rPr>
        <w:t>捌</w:t>
      </w:r>
      <w:r>
        <w:rPr>
          <w:rFonts w:ascii="宋体" w:hAnsi="宋体" w:eastAsia="宋体" w:cs="宋体"/>
          <w:color w:val="333333"/>
          <w:kern w:val="0"/>
          <w:sz w:val="24"/>
          <w:szCs w:val="24"/>
        </w:rPr>
        <w:t>万元整</w:t>
      </w:r>
    </w:p>
    <w:p>
      <w:pPr>
        <w:widowControl/>
        <w:shd w:val="clear" w:color="auto" w:fill="FFFFFF"/>
        <w:spacing w:line="480" w:lineRule="auto"/>
        <w:ind w:firstLine="420"/>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（五）项目概况：本实验适用于电磁场与微波学科教学及实践，使学生通过沉浸式体验和交互操作，掌握微波发生器、传输线试验、微波测量等相关知识。 突破了传统实验教学方式，避免了高压、强辐射环境下开展实验教学所带来的安全性问题的同时降低不正当操作对精密 、 昂贵仪器的损坏风险。实验包括基础学习测试、交变电磁场传输线设计，波导传输线设计，传输线匹配设计、微波测量线设计、实验报告等 6 个环节</w:t>
      </w:r>
      <w:r>
        <w:rPr>
          <w:rFonts w:hint="eastAsia" w:ascii="宋体" w:hAnsi="宋体" w:eastAsia="宋体" w:cs="宋体"/>
          <w:color w:val="333333"/>
          <w:kern w:val="0"/>
          <w:sz w:val="24"/>
          <w:szCs w:val="24"/>
          <w:lang w:eastAsia="zh-CN"/>
        </w:rPr>
        <w:t>。</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（六）本项目是否有为采购项目提供整体设计、规范编制或者项目管理、监理、检测等服务的供应商：□是（填以下信息）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 xml:space="preserve"> ■否</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供应商名称：</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供应商统一社会信用代码：</w:t>
      </w:r>
    </w:p>
    <w:p>
      <w:pPr>
        <w:widowControl/>
        <w:shd w:val="clear" w:color="auto" w:fill="FFFFFF"/>
        <w:spacing w:line="480" w:lineRule="auto"/>
        <w:outlineLvl w:val="2"/>
        <w:rPr>
          <w:rFonts w:ascii="宋体" w:hAnsi="宋体" w:eastAsia="宋体" w:cs="宋体"/>
          <w:b/>
          <w:bCs/>
          <w:color w:val="auto"/>
          <w:kern w:val="0"/>
          <w:sz w:val="27"/>
          <w:szCs w:val="27"/>
        </w:rPr>
      </w:pPr>
      <w:r>
        <w:rPr>
          <w:rFonts w:hint="eastAsia" w:ascii="宋体" w:hAnsi="宋体" w:eastAsia="宋体" w:cs="宋体"/>
          <w:b/>
          <w:bCs/>
          <w:color w:val="auto"/>
          <w:kern w:val="0"/>
          <w:sz w:val="27"/>
          <w:szCs w:val="27"/>
        </w:rPr>
        <w:t>二、项目需求调查情况</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依据《政府采购需求管理办法》的规定，</w:t>
      </w:r>
      <w:r>
        <w:rPr>
          <w:rFonts w:hint="eastAsia" w:ascii="宋体" w:hAnsi="宋体" w:eastAsia="宋体" w:cs="宋体"/>
          <w:kern w:val="0"/>
          <w:sz w:val="24"/>
          <w:szCs w:val="24"/>
        </w:rPr>
        <w:t>□</w:t>
      </w:r>
      <w:r>
        <w:rPr>
          <w:rFonts w:hint="eastAsia" w:ascii="宋体" w:hAnsi="宋体" w:eastAsia="宋体" w:cs="宋体"/>
          <w:color w:val="333333"/>
          <w:kern w:val="0"/>
          <w:sz w:val="24"/>
          <w:szCs w:val="24"/>
        </w:rPr>
        <w:t>本项目</w:t>
      </w:r>
      <w:r>
        <w:rPr>
          <w:rFonts w:hint="eastAsia" w:ascii="宋体" w:hAnsi="宋体" w:eastAsia="宋体" w:cs="宋体"/>
          <w:kern w:val="0"/>
          <w:sz w:val="24"/>
          <w:szCs w:val="24"/>
        </w:rPr>
        <w:t xml:space="preserve">需要（填以下信息）       </w:t>
      </w:r>
      <w:r>
        <w:rPr>
          <w:rFonts w:hint="eastAsia" w:ascii="宋体" w:hAnsi="宋体" w:eastAsia="宋体" w:cs="宋体"/>
          <w:color w:val="333333"/>
          <w:kern w:val="0"/>
          <w:sz w:val="24"/>
          <w:szCs w:val="24"/>
        </w:rPr>
        <w:t>■</w:t>
      </w:r>
      <w:r>
        <w:rPr>
          <w:rFonts w:hint="eastAsia" w:ascii="宋体" w:hAnsi="宋体" w:eastAsia="宋体" w:cs="宋体"/>
          <w:kern w:val="0"/>
          <w:sz w:val="24"/>
          <w:szCs w:val="24"/>
        </w:rPr>
        <w:t>不需要  需求调</w:t>
      </w:r>
      <w:r>
        <w:rPr>
          <w:rFonts w:hint="eastAsia" w:ascii="宋体" w:hAnsi="宋体" w:eastAsia="宋体" w:cs="宋体"/>
          <w:color w:val="333333"/>
          <w:kern w:val="0"/>
          <w:sz w:val="24"/>
          <w:szCs w:val="24"/>
        </w:rPr>
        <w:t>查，具体情况如下：</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·本项目属于以下应当展开需求的情形</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000000"/>
          <w:kern w:val="0"/>
          <w:sz w:val="24"/>
          <w:szCs w:val="24"/>
        </w:rPr>
        <w:t xml:space="preserve"> 1000万元以上的货物、服务采购项目，3000万元以上的工程采购项目；</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涉及公共利益、社会关注度较高的采购项目，包括政府向社会公众提供的公共服务项目等；</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技术复杂、专业性较强的项目，包括需定制开发的信息化建设项目、采购进口产品的项目等；</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主管预算单位或者采购人认为需要开展需求调查的其他采购项目。</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·本项目属于以下可以不再重复开展需求调查的情形</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编制采购需求前一年内，采购人已就相关采购标的开展过需求调查的可以不再重复开展。</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按照法律法规的规定，对采购项目开展可行性研究等前期工作，已包含需求调查内容的，可以不再重复调查</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（一）需求调查方式:</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□咨询  </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论证  □调查问卷</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（二）需求调查对象:</w:t>
      </w:r>
      <w:r>
        <w:rPr>
          <w:rFonts w:hint="eastAsia" w:ascii="宋体" w:hAnsi="宋体" w:eastAsia="宋体" w:cs="宋体"/>
          <w:color w:val="333333"/>
          <w:kern w:val="0"/>
          <w:sz w:val="24"/>
          <w:szCs w:val="24"/>
          <w:lang w:val="en-US" w:eastAsia="zh-CN"/>
        </w:rPr>
        <w:t>相关制造厂商</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（三）需求调查结果</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1.相关产业发展情况:</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2.市场供给情况:</w:t>
      </w:r>
    </w:p>
    <w:p>
      <w:pPr>
        <w:widowControl/>
        <w:shd w:val="clear" w:color="auto" w:fill="FFFFFF"/>
        <w:spacing w:line="480" w:lineRule="auto"/>
        <w:ind w:firstLine="84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3.同类采购项目历史成交信息情况:</w:t>
      </w:r>
    </w:p>
    <w:p>
      <w:pPr>
        <w:keepNext w:val="0"/>
        <w:keepLines w:val="0"/>
        <w:widowControl/>
        <w:suppressLineNumbers w:val="0"/>
        <w:ind w:firstLine="1200" w:firstLineChars="500"/>
        <w:jc w:val="left"/>
      </w:pPr>
      <w:r>
        <w:rPr>
          <w:rFonts w:hint="eastAsia" w:ascii="宋体" w:hAnsi="宋体" w:eastAsia="宋体" w:cs="宋体"/>
          <w:color w:val="333333"/>
          <w:kern w:val="0"/>
          <w:sz w:val="24"/>
          <w:szCs w:val="24"/>
          <w:lang w:val="en-US" w:eastAsia="zh-CN"/>
        </w:rPr>
        <w:t>目前我校</w:t>
      </w:r>
      <w:r>
        <w:rPr>
          <w:rFonts w:hint="eastAsia" w:ascii="宋体" w:hAnsi="宋体" w:eastAsia="宋体" w:cs="宋体"/>
          <w:color w:val="333333"/>
          <w:kern w:val="0"/>
          <w:sz w:val="24"/>
          <w:szCs w:val="24"/>
          <w:lang w:val="en-US" w:eastAsia="zh-CN" w:bidi="ar"/>
        </w:rPr>
        <w:t>尚无同类采购项目的成交信息。</w:t>
      </w:r>
    </w:p>
    <w:p>
      <w:pPr>
        <w:widowControl/>
        <w:numPr>
          <w:ilvl w:val="0"/>
          <w:numId w:val="1"/>
        </w:numPr>
        <w:shd w:val="clear" w:color="auto" w:fill="FFFFFF"/>
        <w:spacing w:line="480" w:lineRule="auto"/>
        <w:ind w:firstLine="84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可能涉及的运行维护、升级更新、备品备件、耗材等后续采购情况:</w:t>
      </w:r>
    </w:p>
    <w:p>
      <w:pPr>
        <w:widowControl/>
        <w:shd w:val="clear" w:color="auto" w:fill="FFFFFF"/>
        <w:spacing w:line="480" w:lineRule="auto"/>
        <w:ind w:firstLine="1200" w:firstLineChars="500"/>
      </w:pPr>
      <w:r>
        <w:rPr>
          <w:rFonts w:hint="eastAsia" w:ascii="宋体" w:hAnsi="宋体" w:eastAsia="宋体" w:cs="宋体"/>
          <w:color w:val="333333"/>
          <w:kern w:val="0"/>
          <w:sz w:val="24"/>
          <w:szCs w:val="24"/>
          <w:lang w:val="en-US" w:eastAsia="zh-CN"/>
        </w:rPr>
        <w:t>产品提供三年的免费技术支持。</w:t>
      </w:r>
    </w:p>
    <w:p>
      <w:pPr>
        <w:widowControl/>
        <w:shd w:val="clear" w:color="auto" w:fill="FFFFFF"/>
        <w:spacing w:line="480" w:lineRule="auto"/>
        <w:ind w:firstLine="84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5.其他相关情况:</w:t>
      </w:r>
      <w:r>
        <w:rPr>
          <w:rFonts w:hint="eastAsia" w:ascii="宋体" w:hAnsi="宋体" w:eastAsia="宋体" w:cs="宋体"/>
          <w:color w:val="333333"/>
          <w:kern w:val="0"/>
          <w:sz w:val="24"/>
          <w:szCs w:val="24"/>
          <w:lang w:val="en-US" w:eastAsia="zh-CN"/>
        </w:rPr>
        <w:t>无</w:t>
      </w: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333333"/>
          <w:kern w:val="0"/>
          <w:sz w:val="27"/>
          <w:szCs w:val="27"/>
        </w:rPr>
        <w:t>三、项目采购实施计划</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（一）采购组织形式：□政府集中采购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 xml:space="preserve">□部门集中采购  </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分散采购</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auto"/>
          <w:kern w:val="0"/>
          <w:sz w:val="24"/>
          <w:szCs w:val="24"/>
        </w:rPr>
        <w:t xml:space="preserve"> （二）采购方式</w:t>
      </w:r>
      <w:r>
        <w:rPr>
          <w:rFonts w:ascii="宋体" w:hAnsi="宋体" w:eastAsia="宋体" w:cs="宋体"/>
          <w:color w:val="auto"/>
          <w:kern w:val="0"/>
          <w:sz w:val="24"/>
          <w:szCs w:val="24"/>
        </w:rPr>
        <w:t>：</w:t>
      </w:r>
      <w:r>
        <w:rPr>
          <w:rFonts w:hint="eastAsia" w:ascii="宋体" w:hAnsi="宋体" w:eastAsia="宋体" w:cs="宋体"/>
          <w:color w:val="333333"/>
          <w:kern w:val="0"/>
          <w:sz w:val="24"/>
          <w:szCs w:val="24"/>
        </w:rPr>
        <w:t>■公开招标  □邀请</w:t>
      </w:r>
      <w:r>
        <w:rPr>
          <w:rFonts w:ascii="宋体" w:hAnsi="宋体" w:eastAsia="宋体" w:cs="宋体"/>
          <w:color w:val="333333"/>
          <w:kern w:val="0"/>
          <w:sz w:val="24"/>
          <w:szCs w:val="24"/>
        </w:rPr>
        <w:t>招标</w:t>
      </w:r>
      <w:r>
        <w:rPr>
          <w:rFonts w:hint="eastAsia" w:ascii="宋体" w:hAnsi="宋体" w:eastAsia="宋体" w:cs="宋体"/>
          <w:color w:val="333333"/>
          <w:kern w:val="0"/>
          <w:sz w:val="24"/>
          <w:szCs w:val="24"/>
        </w:rPr>
        <w:t xml:space="preserve">  □竞争性谈判  □询价     □单一来源  □竞争性</w:t>
      </w:r>
      <w:r>
        <w:rPr>
          <w:rFonts w:ascii="宋体" w:hAnsi="宋体" w:eastAsia="宋体" w:cs="宋体"/>
          <w:color w:val="333333"/>
          <w:kern w:val="0"/>
          <w:sz w:val="24"/>
          <w:szCs w:val="24"/>
        </w:rPr>
        <w:t>磋商</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（三）本项目是否单位自行组织采购：否</w:t>
      </w:r>
    </w:p>
    <w:p>
      <w:pPr>
        <w:widowControl/>
        <w:shd w:val="clear" w:color="auto" w:fill="FFFFFF"/>
        <w:spacing w:line="480" w:lineRule="auto"/>
        <w:ind w:firstLine="420"/>
        <w:rPr>
          <w:sz w:val="24"/>
        </w:rPr>
      </w:pPr>
      <w:r>
        <w:rPr>
          <w:rFonts w:hint="eastAsia" w:ascii="宋体" w:hAnsi="宋体" w:eastAsia="宋体" w:cs="宋体"/>
          <w:color w:val="333333"/>
          <w:kern w:val="0"/>
          <w:sz w:val="24"/>
          <w:szCs w:val="24"/>
        </w:rPr>
        <w:t>（四）采购包划分</w:t>
      </w:r>
      <w:r>
        <w:rPr>
          <w:rFonts w:hint="eastAsia"/>
        </w:rPr>
        <w:t>：</w:t>
      </w:r>
      <w:r>
        <w:rPr>
          <w:rFonts w:hint="eastAsia"/>
          <w:sz w:val="24"/>
        </w:rPr>
        <w:t>不分包采购</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包</w:t>
      </w:r>
      <w:r>
        <w:rPr>
          <w:color w:val="000000" w:themeColor="text1"/>
          <w:sz w:val="24"/>
          <w14:textFill>
            <w14:solidFill>
              <w14:schemeClr w14:val="tx1"/>
            </w14:solidFill>
          </w14:textFill>
        </w:rPr>
        <w:t>名称：</w:t>
      </w:r>
      <w:r>
        <w:rPr>
          <w:rFonts w:hint="eastAsia"/>
          <w:color w:val="000000" w:themeColor="text1"/>
          <w:sz w:val="24"/>
          <w:lang w:val="en-US" w:eastAsia="zh-CN"/>
          <w14:textFill>
            <w14:solidFill>
              <w14:schemeClr w14:val="tx1"/>
            </w14:solidFill>
          </w14:textFill>
        </w:rPr>
        <w:t>电磁场的场分布虚拟仿真实验</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最高</w:t>
      </w:r>
      <w:r>
        <w:rPr>
          <w:color w:val="000000" w:themeColor="text1"/>
          <w:sz w:val="24"/>
          <w14:textFill>
            <w14:solidFill>
              <w14:schemeClr w14:val="tx1"/>
            </w14:solidFill>
          </w14:textFill>
        </w:rPr>
        <w:t>限价</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壹</w:t>
      </w:r>
      <w:r>
        <w:rPr>
          <w:rFonts w:ascii="宋体" w:hAnsi="宋体" w:eastAsia="宋体" w:cs="宋体"/>
          <w:color w:val="000000" w:themeColor="text1"/>
          <w:kern w:val="0"/>
          <w:sz w:val="24"/>
          <w:szCs w:val="24"/>
          <w14:textFill>
            <w14:solidFill>
              <w14:schemeClr w14:val="tx1"/>
            </w14:solidFill>
          </w14:textFill>
        </w:rPr>
        <w:t>拾</w:t>
      </w:r>
      <w:r>
        <w:rPr>
          <w:rFonts w:hint="eastAsia" w:ascii="宋体" w:hAnsi="宋体" w:eastAsia="宋体" w:cs="宋体"/>
          <w:color w:val="000000" w:themeColor="text1"/>
          <w:kern w:val="0"/>
          <w:sz w:val="24"/>
          <w:szCs w:val="24"/>
          <w:lang w:val="en-US" w:eastAsia="zh-CN"/>
          <w14:textFill>
            <w14:solidFill>
              <w14:schemeClr w14:val="tx1"/>
            </w14:solidFill>
          </w14:textFill>
        </w:rPr>
        <w:t>捌</w:t>
      </w:r>
      <w:r>
        <w:rPr>
          <w:rFonts w:ascii="宋体" w:hAnsi="宋体" w:eastAsia="宋体" w:cs="宋体"/>
          <w:color w:val="000000" w:themeColor="text1"/>
          <w:kern w:val="0"/>
          <w:sz w:val="24"/>
          <w:szCs w:val="24"/>
          <w14:textFill>
            <w14:solidFill>
              <w14:schemeClr w14:val="tx1"/>
            </w14:solidFill>
          </w14:textFill>
        </w:rPr>
        <w:t>万元整</w:t>
      </w:r>
    </w:p>
    <w:p>
      <w:pPr>
        <w:widowControl/>
        <w:shd w:val="clear" w:color="auto" w:fill="FFFFFF"/>
        <w:spacing w:line="480" w:lineRule="auto"/>
        <w:ind w:firstLine="420"/>
        <w:rPr>
          <w:sz w:val="24"/>
        </w:rPr>
      </w:pPr>
      <w:r>
        <w:rPr>
          <w:rFonts w:hint="eastAsia"/>
          <w:color w:val="000000" w:themeColor="text1"/>
          <w:sz w:val="24"/>
          <w14:textFill>
            <w14:solidFill>
              <w14:schemeClr w14:val="tx1"/>
            </w14:solidFill>
          </w14:textFill>
        </w:rPr>
        <w:t>定价方式：</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固定</w:t>
      </w:r>
      <w:r>
        <w:rPr>
          <w:rFonts w:hint="eastAsia"/>
          <w:sz w:val="24"/>
        </w:rPr>
        <w:t xml:space="preserve">总价 </w:t>
      </w:r>
      <w:r>
        <w:rPr>
          <w:sz w:val="24"/>
        </w:rPr>
        <w:t xml:space="preserve"> </w:t>
      </w:r>
      <w:r>
        <w:rPr>
          <w:rFonts w:hint="eastAsia"/>
          <w:sz w:val="24"/>
        </w:rPr>
        <w:t xml:space="preserve"> </w:t>
      </w:r>
      <w:r>
        <w:rPr>
          <w:rFonts w:hint="eastAsia" w:ascii="宋体" w:hAnsi="宋体" w:eastAsia="宋体" w:cs="宋体"/>
          <w:color w:val="333333"/>
          <w:kern w:val="0"/>
          <w:sz w:val="24"/>
          <w:szCs w:val="24"/>
        </w:rPr>
        <w:t>□</w:t>
      </w:r>
      <w:r>
        <w:rPr>
          <w:rFonts w:hint="eastAsia"/>
          <w:sz w:val="24"/>
        </w:rPr>
        <w:t xml:space="preserve">固定单价 </w:t>
      </w:r>
      <w:r>
        <w:rPr>
          <w:sz w:val="24"/>
        </w:rPr>
        <w:t xml:space="preserve"> </w:t>
      </w:r>
      <w:r>
        <w:rPr>
          <w:rFonts w:hint="eastAsia"/>
          <w:sz w:val="24"/>
        </w:rPr>
        <w:t xml:space="preserve"> </w:t>
      </w:r>
      <w:r>
        <w:rPr>
          <w:rFonts w:hint="eastAsia" w:ascii="宋体" w:hAnsi="宋体" w:eastAsia="宋体" w:cs="宋体"/>
          <w:color w:val="333333"/>
          <w:kern w:val="0"/>
          <w:sz w:val="24"/>
          <w:szCs w:val="24"/>
        </w:rPr>
        <w:t>□</w:t>
      </w:r>
      <w:r>
        <w:rPr>
          <w:rFonts w:hint="eastAsia"/>
          <w:sz w:val="24"/>
        </w:rPr>
        <w:t>其他（</w:t>
      </w:r>
      <w:r>
        <w:rPr>
          <w:sz w:val="24"/>
        </w:rPr>
        <w:t>定价方式名称：</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widowControl/>
        <w:shd w:val="clear" w:color="auto" w:fill="FFFFFF"/>
        <w:spacing w:line="480" w:lineRule="auto"/>
        <w:ind w:firstLine="420"/>
        <w:rPr>
          <w:sz w:val="24"/>
        </w:rPr>
      </w:pPr>
      <w:r>
        <w:rPr>
          <w:rFonts w:hint="eastAsia"/>
          <w:sz w:val="24"/>
        </w:rPr>
        <w:t>品目信息一</w:t>
      </w:r>
    </w:p>
    <w:p>
      <w:pPr>
        <w:widowControl/>
        <w:shd w:val="clear" w:color="auto" w:fill="FFFFFF"/>
        <w:spacing w:line="480" w:lineRule="auto"/>
        <w:ind w:left="479" w:leftChars="228"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标的名称：</w:t>
      </w:r>
      <w:r>
        <w:rPr>
          <w:rFonts w:hint="eastAsia"/>
          <w:color w:val="000000" w:themeColor="text1"/>
          <w:sz w:val="24"/>
          <w:lang w:val="en-US" w:eastAsia="zh-CN"/>
          <w14:textFill>
            <w14:solidFill>
              <w14:schemeClr w14:val="tx1"/>
            </w14:solidFill>
          </w14:textFill>
        </w:rPr>
        <w:t>电磁场的场分布虚拟仿真实验</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计量单位</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套    数量</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单价（元）</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18</w:t>
      </w:r>
      <w:r>
        <w:rPr>
          <w:color w:val="000000" w:themeColor="text1"/>
          <w:sz w:val="24"/>
          <w14:textFill>
            <w14:solidFill>
              <w14:schemeClr w14:val="tx1"/>
            </w14:solidFill>
          </w14:textFill>
        </w:rPr>
        <w:t xml:space="preserve">0000.00   </w:t>
      </w:r>
      <w:r>
        <w:rPr>
          <w:rFonts w:hint="eastAsia"/>
          <w:color w:val="000000" w:themeColor="text1"/>
          <w:sz w:val="24"/>
          <w14:textFill>
            <w14:solidFill>
              <w14:schemeClr w14:val="tx1"/>
            </w14:solidFill>
          </w14:textFill>
        </w:rPr>
        <w:t>该品目预算(元)：</w:t>
      </w:r>
      <w:r>
        <w:rPr>
          <w:rFonts w:hint="eastAsia"/>
          <w:color w:val="000000" w:themeColor="text1"/>
          <w:sz w:val="24"/>
          <w:lang w:val="en-US" w:eastAsia="zh-CN"/>
          <w14:textFill>
            <w14:solidFill>
              <w14:schemeClr w14:val="tx1"/>
            </w14:solidFill>
          </w14:textFill>
        </w:rPr>
        <w:t>18</w:t>
      </w:r>
      <w:r>
        <w:rPr>
          <w:color w:val="000000" w:themeColor="text1"/>
          <w:sz w:val="24"/>
          <w14:textFill>
            <w14:solidFill>
              <w14:schemeClr w14:val="tx1"/>
            </w14:solidFill>
          </w14:textFill>
        </w:rPr>
        <w:t>0000.00</w:t>
      </w:r>
    </w:p>
    <w:p>
      <w:pPr>
        <w:widowControl/>
        <w:shd w:val="clear" w:color="auto" w:fill="FFFFFF"/>
        <w:spacing w:line="480" w:lineRule="auto"/>
        <w:ind w:firstLine="420"/>
        <w:rPr>
          <w:sz w:val="24"/>
        </w:rPr>
      </w:pPr>
      <w:r>
        <w:rPr>
          <w:rFonts w:hint="eastAsia"/>
          <w:sz w:val="24"/>
        </w:rPr>
        <w:t>所属</w:t>
      </w:r>
      <w:r>
        <w:rPr>
          <w:sz w:val="24"/>
        </w:rPr>
        <w:t>行业：</w:t>
      </w:r>
      <w:r>
        <w:rPr>
          <w:rFonts w:hint="eastAsia" w:ascii="宋体" w:hAnsi="宋体" w:eastAsia="宋体" w:cs="宋体"/>
          <w:color w:val="333333"/>
          <w:kern w:val="0"/>
          <w:sz w:val="24"/>
          <w:szCs w:val="24"/>
        </w:rPr>
        <w:t>□</w:t>
      </w:r>
      <w:r>
        <w:rPr>
          <w:rFonts w:hint="eastAsia"/>
          <w:sz w:val="24"/>
        </w:rPr>
        <w:t>农、林、牧、渔业　　</w:t>
      </w:r>
      <w:r>
        <w:rPr>
          <w:rFonts w:hint="eastAsia" w:ascii="宋体" w:hAnsi="宋体" w:eastAsia="宋体" w:cs="宋体"/>
          <w:color w:val="333333"/>
          <w:kern w:val="0"/>
          <w:sz w:val="24"/>
          <w:szCs w:val="24"/>
        </w:rPr>
        <w:t>□</w:t>
      </w:r>
      <w:r>
        <w:rPr>
          <w:rFonts w:hint="eastAsia"/>
          <w:sz w:val="24"/>
        </w:rPr>
        <w:t xml:space="preserve">工业   </w:t>
      </w:r>
      <w:r>
        <w:rPr>
          <w:rFonts w:hint="eastAsia" w:ascii="宋体" w:hAnsi="宋体" w:eastAsia="宋体" w:cs="宋体"/>
          <w:color w:val="333333"/>
          <w:kern w:val="0"/>
          <w:sz w:val="24"/>
          <w:szCs w:val="24"/>
        </w:rPr>
        <w:t>□</w:t>
      </w:r>
      <w:r>
        <w:rPr>
          <w:rFonts w:hint="eastAsia"/>
          <w:sz w:val="24"/>
        </w:rPr>
        <w:t xml:space="preserve">建筑业  </w:t>
      </w:r>
      <w:r>
        <w:rPr>
          <w:rFonts w:hint="eastAsia" w:ascii="宋体" w:hAnsi="宋体" w:eastAsia="宋体" w:cs="宋体"/>
          <w:color w:val="333333"/>
          <w:kern w:val="0"/>
          <w:sz w:val="24"/>
          <w:szCs w:val="24"/>
        </w:rPr>
        <w:t>□</w:t>
      </w:r>
      <w:r>
        <w:rPr>
          <w:rFonts w:hint="eastAsia"/>
          <w:sz w:val="24"/>
        </w:rPr>
        <w:t xml:space="preserve">批发业  </w:t>
      </w:r>
      <w:r>
        <w:rPr>
          <w:rFonts w:hint="eastAsia" w:ascii="宋体" w:hAnsi="宋体" w:eastAsia="宋体" w:cs="宋体"/>
          <w:color w:val="333333"/>
          <w:kern w:val="0"/>
          <w:sz w:val="24"/>
          <w:szCs w:val="24"/>
        </w:rPr>
        <w:t>□</w:t>
      </w:r>
      <w:r>
        <w:rPr>
          <w:rFonts w:hint="eastAsia"/>
          <w:sz w:val="24"/>
        </w:rPr>
        <w:t xml:space="preserve">零售业  </w:t>
      </w:r>
      <w:r>
        <w:rPr>
          <w:rFonts w:hint="eastAsia" w:ascii="宋体" w:hAnsi="宋体" w:eastAsia="宋体" w:cs="宋体"/>
          <w:color w:val="333333"/>
          <w:kern w:val="0"/>
          <w:sz w:val="24"/>
          <w:szCs w:val="24"/>
        </w:rPr>
        <w:t>□</w:t>
      </w:r>
      <w:r>
        <w:rPr>
          <w:rFonts w:hint="eastAsia"/>
          <w:sz w:val="24"/>
        </w:rPr>
        <w:t xml:space="preserve">交通运输业  </w:t>
      </w:r>
      <w:r>
        <w:rPr>
          <w:rFonts w:hint="eastAsia" w:ascii="宋体" w:hAnsi="宋体" w:eastAsia="宋体" w:cs="宋体"/>
          <w:color w:val="333333"/>
          <w:kern w:val="0"/>
          <w:sz w:val="24"/>
          <w:szCs w:val="24"/>
        </w:rPr>
        <w:t>□</w:t>
      </w:r>
      <w:r>
        <w:rPr>
          <w:rFonts w:hint="eastAsia"/>
          <w:sz w:val="24"/>
        </w:rPr>
        <w:t xml:space="preserve">仓储业  </w:t>
      </w:r>
      <w:r>
        <w:rPr>
          <w:rFonts w:hint="eastAsia" w:ascii="宋体" w:hAnsi="宋体" w:eastAsia="宋体" w:cs="宋体"/>
          <w:color w:val="333333"/>
          <w:kern w:val="0"/>
          <w:sz w:val="24"/>
          <w:szCs w:val="24"/>
        </w:rPr>
        <w:t>□</w:t>
      </w:r>
      <w:r>
        <w:rPr>
          <w:rFonts w:hint="eastAsia"/>
          <w:sz w:val="24"/>
        </w:rPr>
        <w:t xml:space="preserve">邮政业  </w:t>
      </w:r>
      <w:r>
        <w:rPr>
          <w:rFonts w:hint="eastAsia" w:ascii="宋体" w:hAnsi="宋体" w:eastAsia="宋体" w:cs="宋体"/>
          <w:color w:val="333333"/>
          <w:kern w:val="0"/>
          <w:sz w:val="24"/>
          <w:szCs w:val="24"/>
        </w:rPr>
        <w:t>□</w:t>
      </w:r>
      <w:r>
        <w:rPr>
          <w:rFonts w:hint="eastAsia"/>
          <w:sz w:val="24"/>
        </w:rPr>
        <w:t xml:space="preserve">住宿业  </w:t>
      </w:r>
      <w:r>
        <w:rPr>
          <w:rFonts w:hint="eastAsia" w:ascii="宋体" w:hAnsi="宋体" w:eastAsia="宋体" w:cs="宋体"/>
          <w:color w:val="333333"/>
          <w:kern w:val="0"/>
          <w:sz w:val="24"/>
          <w:szCs w:val="24"/>
        </w:rPr>
        <w:t>□</w:t>
      </w:r>
      <w:r>
        <w:rPr>
          <w:rFonts w:hint="eastAsia"/>
          <w:sz w:val="24"/>
        </w:rPr>
        <w:t xml:space="preserve">餐饮业  </w:t>
      </w:r>
      <w:r>
        <w:rPr>
          <w:rFonts w:hint="eastAsia" w:ascii="宋体" w:hAnsi="宋体" w:eastAsia="宋体" w:cs="宋体"/>
          <w:color w:val="333333"/>
          <w:kern w:val="0"/>
          <w:sz w:val="24"/>
          <w:szCs w:val="24"/>
        </w:rPr>
        <w:t>□</w:t>
      </w:r>
      <w:r>
        <w:rPr>
          <w:rFonts w:hint="eastAsia"/>
          <w:sz w:val="24"/>
        </w:rPr>
        <w:t xml:space="preserve">信息传输业  </w:t>
      </w:r>
      <w:r>
        <w:rPr>
          <w:rFonts w:hint="eastAsia" w:ascii="宋体" w:hAnsi="宋体" w:eastAsia="宋体" w:cs="宋体"/>
          <w:color w:val="333333"/>
          <w:kern w:val="0"/>
          <w:sz w:val="24"/>
          <w:szCs w:val="24"/>
        </w:rPr>
        <w:t>■</w:t>
      </w:r>
      <w:r>
        <w:rPr>
          <w:rFonts w:hint="eastAsia"/>
          <w:sz w:val="24"/>
        </w:rPr>
        <w:t xml:space="preserve">软件和信息技术服务业  </w:t>
      </w:r>
      <w:r>
        <w:rPr>
          <w:rFonts w:hint="eastAsia" w:ascii="宋体" w:hAnsi="宋体" w:eastAsia="宋体" w:cs="宋体"/>
          <w:color w:val="333333"/>
          <w:kern w:val="0"/>
          <w:sz w:val="24"/>
          <w:szCs w:val="24"/>
        </w:rPr>
        <w:t>□</w:t>
      </w:r>
      <w:r>
        <w:rPr>
          <w:rFonts w:hint="eastAsia"/>
          <w:sz w:val="24"/>
        </w:rPr>
        <w:t xml:space="preserve">房地产开发经营  </w:t>
      </w:r>
      <w:r>
        <w:rPr>
          <w:rFonts w:hint="eastAsia" w:ascii="宋体" w:hAnsi="宋体" w:eastAsia="宋体" w:cs="宋体"/>
          <w:color w:val="333333"/>
          <w:kern w:val="0"/>
          <w:sz w:val="24"/>
          <w:szCs w:val="24"/>
        </w:rPr>
        <w:t>□</w:t>
      </w:r>
      <w:r>
        <w:rPr>
          <w:rFonts w:hint="eastAsia"/>
          <w:sz w:val="24"/>
        </w:rPr>
        <w:t xml:space="preserve">物业管理  </w:t>
      </w:r>
      <w:r>
        <w:rPr>
          <w:rFonts w:hint="eastAsia" w:ascii="宋体" w:hAnsi="宋体" w:eastAsia="宋体" w:cs="宋体"/>
          <w:color w:val="333333"/>
          <w:kern w:val="0"/>
          <w:sz w:val="24"/>
          <w:szCs w:val="24"/>
        </w:rPr>
        <w:t>□</w:t>
      </w:r>
      <w:r>
        <w:rPr>
          <w:rFonts w:hint="eastAsia"/>
          <w:sz w:val="24"/>
        </w:rPr>
        <w:t xml:space="preserve">租赁和商务服务业  </w:t>
      </w:r>
      <w:r>
        <w:rPr>
          <w:rFonts w:hint="eastAsia" w:ascii="宋体" w:hAnsi="宋体" w:eastAsia="宋体" w:cs="宋体"/>
          <w:color w:val="333333"/>
          <w:kern w:val="0"/>
          <w:sz w:val="24"/>
          <w:szCs w:val="24"/>
        </w:rPr>
        <w:t>□</w:t>
      </w:r>
      <w:r>
        <w:rPr>
          <w:rFonts w:hint="eastAsia"/>
          <w:sz w:val="24"/>
        </w:rPr>
        <w:t>其他未列明行业</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sz w:val="24"/>
        </w:rPr>
        <w:t>节能</w:t>
      </w:r>
      <w:r>
        <w:rPr>
          <w:sz w:val="24"/>
        </w:rPr>
        <w:t>：</w:t>
      </w:r>
      <w:r>
        <w:rPr>
          <w:rFonts w:hint="eastAsia" w:ascii="宋体" w:hAnsi="宋体" w:eastAsia="宋体" w:cs="宋体"/>
          <w:color w:val="333333"/>
          <w:kern w:val="0"/>
          <w:sz w:val="24"/>
          <w:szCs w:val="24"/>
        </w:rPr>
        <w:t xml:space="preserve">□是   □否            </w:t>
      </w:r>
      <w:r>
        <w:rPr>
          <w:rFonts w:hint="eastAsia"/>
          <w:sz w:val="24"/>
        </w:rPr>
        <w:t>环保</w:t>
      </w:r>
      <w:r>
        <w:rPr>
          <w:sz w:val="24"/>
        </w:rPr>
        <w:t>：</w:t>
      </w:r>
      <w:r>
        <w:rPr>
          <w:rFonts w:hint="eastAsia" w:ascii="宋体" w:hAnsi="宋体" w:eastAsia="宋体" w:cs="宋体"/>
          <w:color w:val="333333"/>
          <w:kern w:val="0"/>
          <w:sz w:val="24"/>
          <w:szCs w:val="24"/>
        </w:rPr>
        <w:t>□是   □否</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功能和质量要求 ：</w:t>
      </w:r>
    </w:p>
    <w:p>
      <w:pPr>
        <w:widowControl/>
        <w:shd w:val="clear" w:color="auto" w:fill="FFFFFF"/>
        <w:spacing w:line="48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功能要求：</w:t>
      </w:r>
    </w:p>
    <w:p>
      <w:pPr>
        <w:keepNext w:val="0"/>
        <w:keepLines w:val="0"/>
        <w:widowControl/>
        <w:numPr>
          <w:ilvl w:val="0"/>
          <w:numId w:val="0"/>
        </w:numPr>
        <w:suppressLineNumbers w:val="0"/>
        <w:ind w:leftChars="200"/>
        <w:jc w:val="left"/>
        <w:rPr>
          <w:rFonts w:hint="default"/>
          <w:lang w:val="en-US"/>
        </w:rPr>
      </w:pPr>
      <w:r>
        <w:rPr>
          <w:rFonts w:hint="eastAsia" w:ascii="宋体" w:hAnsi="宋体" w:eastAsia="宋体" w:cs="宋体"/>
          <w:bCs/>
          <w:szCs w:val="21"/>
        </w:rPr>
        <w:t>（1）</w:t>
      </w:r>
      <w:r>
        <w:rPr>
          <w:rFonts w:hint="eastAsia" w:ascii="宋体" w:hAnsi="宋体" w:eastAsia="宋体" w:cs="宋体"/>
          <w:color w:val="000000"/>
          <w:kern w:val="0"/>
          <w:sz w:val="24"/>
          <w:szCs w:val="24"/>
          <w:lang w:val="en-US" w:eastAsia="zh-CN" w:bidi="ar"/>
        </w:rPr>
        <w:t>静电场分布分析，以带电球体为实验模型，仿真模拟静电场分布；</w:t>
      </w:r>
    </w:p>
    <w:p>
      <w:pPr>
        <w:keepNext w:val="0"/>
        <w:keepLines w:val="0"/>
        <w:widowControl/>
        <w:numPr>
          <w:ilvl w:val="0"/>
          <w:numId w:val="0"/>
        </w:numPr>
        <w:suppressLineNumbers w:val="0"/>
        <w:ind w:left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bCs/>
          <w:szCs w:val="21"/>
        </w:rPr>
        <w:t>（</w:t>
      </w:r>
      <w:r>
        <w:rPr>
          <w:rFonts w:hint="eastAsia" w:ascii="宋体" w:hAnsi="宋体" w:eastAsia="宋体" w:cs="宋体"/>
          <w:bCs/>
          <w:szCs w:val="21"/>
          <w:lang w:val="en-US" w:eastAsia="zh-CN"/>
        </w:rPr>
        <w:t>2</w:t>
      </w:r>
      <w:r>
        <w:rPr>
          <w:rFonts w:hint="eastAsia" w:ascii="宋体" w:hAnsi="宋体" w:eastAsia="宋体" w:cs="宋体"/>
          <w:bCs/>
          <w:szCs w:val="21"/>
        </w:rPr>
        <w:t>）</w:t>
      </w:r>
      <w:r>
        <w:rPr>
          <w:rFonts w:hint="eastAsia" w:ascii="宋体" w:hAnsi="宋体" w:eastAsia="宋体" w:cs="宋体"/>
          <w:color w:val="000000"/>
          <w:kern w:val="0"/>
          <w:sz w:val="24"/>
          <w:szCs w:val="24"/>
          <w:lang w:val="en-US" w:eastAsia="zh-CN" w:bidi="ar"/>
        </w:rPr>
        <w:t>静磁场分布分析，以变压器磁铁模型为基础，设置仿真参数模拟静态磁场分布；</w:t>
      </w:r>
    </w:p>
    <w:p>
      <w:pPr>
        <w:keepNext w:val="0"/>
        <w:keepLines w:val="0"/>
        <w:widowControl/>
        <w:numPr>
          <w:ilvl w:val="0"/>
          <w:numId w:val="0"/>
        </w:numPr>
        <w:suppressLineNumbers w:val="0"/>
        <w:ind w:leftChars="200"/>
        <w:jc w:val="left"/>
      </w:pPr>
      <w:r>
        <w:rPr>
          <w:rFonts w:hint="eastAsia" w:ascii="宋体" w:hAnsi="宋体" w:eastAsia="宋体" w:cs="宋体"/>
          <w:bCs/>
          <w:szCs w:val="21"/>
        </w:rPr>
        <w:t>（</w:t>
      </w:r>
      <w:r>
        <w:rPr>
          <w:rFonts w:hint="eastAsia" w:ascii="宋体" w:hAnsi="宋体" w:eastAsia="宋体" w:cs="宋体"/>
          <w:bCs/>
          <w:szCs w:val="21"/>
          <w:lang w:val="en-US" w:eastAsia="zh-CN"/>
        </w:rPr>
        <w:t>3</w:t>
      </w:r>
      <w:r>
        <w:rPr>
          <w:rFonts w:hint="eastAsia" w:ascii="宋体" w:hAnsi="宋体" w:eastAsia="宋体" w:cs="宋体"/>
          <w:bCs/>
          <w:szCs w:val="21"/>
        </w:rPr>
        <w:t>）</w:t>
      </w:r>
      <w:r>
        <w:rPr>
          <w:rFonts w:hint="eastAsia" w:ascii="宋体" w:hAnsi="宋体" w:eastAsia="宋体" w:cs="宋体"/>
          <w:color w:val="000000"/>
          <w:kern w:val="0"/>
          <w:sz w:val="24"/>
          <w:szCs w:val="24"/>
          <w:lang w:val="en-US" w:eastAsia="zh-CN" w:bidi="ar"/>
        </w:rPr>
        <w:t>时变电磁场分布，以双导线时变电磁场传输模型为基础，温习传输线分 布参数模型，传输线波形，负载匹配等基本理论，仿真分析双导线时变电磁场的传输过程；</w:t>
      </w:r>
    </w:p>
    <w:p>
      <w:pPr>
        <w:keepNext w:val="0"/>
        <w:keepLines w:val="0"/>
        <w:widowControl/>
        <w:numPr>
          <w:ilvl w:val="0"/>
          <w:numId w:val="0"/>
        </w:numPr>
        <w:suppressLineNumbers w:val="0"/>
        <w:ind w:leftChars="200"/>
        <w:jc w:val="left"/>
      </w:pPr>
      <w:r>
        <w:rPr>
          <w:rFonts w:hint="eastAsia" w:ascii="宋体" w:hAnsi="宋体" w:eastAsia="宋体" w:cs="宋体"/>
          <w:bCs/>
          <w:szCs w:val="21"/>
        </w:rPr>
        <w:t>（</w:t>
      </w:r>
      <w:r>
        <w:rPr>
          <w:rFonts w:hint="eastAsia" w:ascii="宋体" w:hAnsi="宋体" w:eastAsia="宋体" w:cs="宋体"/>
          <w:bCs/>
          <w:szCs w:val="21"/>
          <w:lang w:val="en-US" w:eastAsia="zh-CN"/>
        </w:rPr>
        <w:t>4</w:t>
      </w:r>
      <w:r>
        <w:rPr>
          <w:rFonts w:hint="eastAsia" w:ascii="宋体" w:hAnsi="宋体" w:eastAsia="宋体" w:cs="宋体"/>
          <w:bCs/>
          <w:szCs w:val="21"/>
        </w:rPr>
        <w:t>）</w:t>
      </w:r>
      <w:r>
        <w:rPr>
          <w:rFonts w:hint="eastAsia" w:ascii="宋体" w:hAnsi="宋体" w:eastAsia="宋体" w:cs="宋体"/>
          <w:color w:val="000000"/>
          <w:kern w:val="0"/>
          <w:sz w:val="24"/>
          <w:szCs w:val="24"/>
          <w:lang w:val="en-US" w:eastAsia="zh-CN" w:bidi="ar"/>
        </w:rPr>
        <w:t>波导传输线，以矩形波导为基础，温习矩形波导场分布、工作模式、传输特性、阻抗特性等基本理论，仿真分析矩形波导的传输模式电磁场分布，直观学习波导传输线中电磁波的传输过程；</w:t>
      </w:r>
    </w:p>
    <w:p>
      <w:pPr>
        <w:keepNext w:val="0"/>
        <w:keepLines w:val="0"/>
        <w:widowControl/>
        <w:numPr>
          <w:ilvl w:val="0"/>
          <w:numId w:val="0"/>
        </w:numPr>
        <w:suppressLineNumbers w:val="0"/>
        <w:ind w:leftChars="200"/>
        <w:jc w:val="left"/>
      </w:pPr>
      <w:r>
        <w:rPr>
          <w:rFonts w:hint="eastAsia" w:ascii="宋体" w:hAnsi="宋体" w:eastAsia="宋体" w:cs="宋体"/>
          <w:bCs/>
          <w:szCs w:val="21"/>
        </w:rPr>
        <w:t>（</w:t>
      </w:r>
      <w:r>
        <w:rPr>
          <w:rFonts w:hint="eastAsia" w:ascii="宋体" w:hAnsi="宋体" w:eastAsia="宋体" w:cs="宋体"/>
          <w:bCs/>
          <w:szCs w:val="21"/>
          <w:lang w:val="en-US" w:eastAsia="zh-CN"/>
        </w:rPr>
        <w:t>5</w:t>
      </w:r>
      <w:r>
        <w:rPr>
          <w:rFonts w:hint="eastAsia" w:ascii="宋体" w:hAnsi="宋体" w:eastAsia="宋体" w:cs="宋体"/>
          <w:bCs/>
          <w:szCs w:val="21"/>
        </w:rPr>
        <w:t>）</w:t>
      </w:r>
      <w:r>
        <w:rPr>
          <w:rFonts w:hint="eastAsia" w:ascii="宋体" w:hAnsi="宋体" w:eastAsia="宋体" w:cs="宋体"/>
          <w:color w:val="000000"/>
          <w:kern w:val="0"/>
          <w:sz w:val="24"/>
          <w:szCs w:val="24"/>
          <w:lang w:val="en-US" w:eastAsia="zh-CN" w:bidi="ar"/>
        </w:rPr>
        <w:t>微波测量，支持测试电磁波波长、频率、器件阻抗等参数测试。</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质量要求：</w:t>
      </w:r>
    </w:p>
    <w:p>
      <w:pPr>
        <w:widowControl/>
        <w:shd w:val="clear" w:color="auto" w:fill="FFFFFF"/>
        <w:ind w:firstLine="420"/>
        <w:rPr>
          <w:rFonts w:ascii="宋体" w:hAnsi="宋体" w:eastAsia="宋体" w:cs="宋体"/>
          <w:bCs/>
          <w:szCs w:val="21"/>
        </w:rPr>
      </w:pPr>
      <w:r>
        <w:rPr>
          <w:rFonts w:hint="eastAsia" w:ascii="宋体" w:hAnsi="宋体" w:eastAsia="宋体" w:cs="宋体"/>
          <w:bCs/>
          <w:szCs w:val="21"/>
        </w:rPr>
        <w:t>（1）系统须采用国际领先的Unity3D引擎进行开发，保证了系统的交互性和扩展性；</w:t>
      </w:r>
    </w:p>
    <w:p>
      <w:pPr>
        <w:widowControl/>
        <w:shd w:val="clear" w:color="auto" w:fill="FFFFFF"/>
        <w:ind w:firstLine="420"/>
        <w:rPr>
          <w:rFonts w:ascii="宋体" w:hAnsi="宋体" w:eastAsia="宋体" w:cs="宋体"/>
          <w:bCs/>
          <w:szCs w:val="21"/>
        </w:rPr>
      </w:pPr>
      <w:r>
        <w:rPr>
          <w:rFonts w:hint="eastAsia" w:ascii="宋体" w:hAnsi="宋体" w:eastAsia="宋体" w:cs="宋体"/>
          <w:bCs/>
          <w:szCs w:val="21"/>
        </w:rPr>
        <w:t>（2）创建场景后要设置好场景打包参数，打开八倍抗锯齿，使场景界面清晰；</w:t>
      </w:r>
    </w:p>
    <w:p>
      <w:pPr>
        <w:widowControl/>
        <w:shd w:val="clear" w:color="auto" w:fill="FFFFFF"/>
        <w:ind w:firstLine="420"/>
        <w:rPr>
          <w:rFonts w:ascii="宋体" w:hAnsi="宋体" w:eastAsia="宋体" w:cs="宋体"/>
          <w:bCs/>
          <w:szCs w:val="21"/>
        </w:rPr>
      </w:pPr>
      <w:r>
        <w:rPr>
          <w:rFonts w:hint="eastAsia" w:ascii="宋体" w:hAnsi="宋体" w:eastAsia="宋体" w:cs="宋体"/>
          <w:bCs/>
          <w:szCs w:val="21"/>
        </w:rPr>
        <w:t>（3）系统采用c#面向对象的程序设计方法，类型名称，方法参数，局部变量和方法名称使用PascalCasing书写，标识符不要</w:t>
      </w:r>
    </w:p>
    <w:p>
      <w:pPr>
        <w:widowControl/>
        <w:shd w:val="clear" w:color="auto" w:fill="FFFFFF"/>
        <w:ind w:firstLine="420"/>
        <w:rPr>
          <w:rFonts w:ascii="宋体" w:hAnsi="宋体" w:eastAsia="宋体" w:cs="宋体"/>
          <w:bCs/>
          <w:szCs w:val="21"/>
        </w:rPr>
      </w:pPr>
      <w:r>
        <w:rPr>
          <w:rFonts w:hint="eastAsia" w:ascii="宋体" w:hAnsi="宋体" w:eastAsia="宋体" w:cs="宋体"/>
          <w:bCs/>
          <w:szCs w:val="21"/>
        </w:rPr>
        <w:t>（4）按照1：1制作指定场景，如试验现场、材料、试验设备和工具等；</w:t>
      </w:r>
    </w:p>
    <w:p>
      <w:pPr>
        <w:widowControl/>
        <w:shd w:val="clear" w:color="auto" w:fill="FFFFFF"/>
        <w:ind w:firstLine="420"/>
        <w:rPr>
          <w:rFonts w:ascii="宋体" w:hAnsi="宋体" w:eastAsia="宋体" w:cs="宋体"/>
          <w:bCs/>
          <w:szCs w:val="21"/>
        </w:rPr>
      </w:pPr>
      <w:r>
        <w:rPr>
          <w:rFonts w:hint="eastAsia" w:ascii="宋体" w:hAnsi="宋体" w:eastAsia="宋体" w:cs="宋体"/>
          <w:bCs/>
          <w:szCs w:val="21"/>
        </w:rPr>
        <w:t>（5）标准化建模，引擎场景要做到最大优化，保证系统流畅运行;</w:t>
      </w:r>
    </w:p>
    <w:p>
      <w:pPr>
        <w:widowControl/>
        <w:shd w:val="clear" w:color="auto" w:fill="FFFFFF"/>
        <w:ind w:firstLine="420"/>
        <w:rPr>
          <w:rFonts w:ascii="宋体" w:hAnsi="宋体" w:eastAsia="宋体" w:cs="宋体"/>
          <w:bCs/>
          <w:szCs w:val="21"/>
        </w:rPr>
      </w:pPr>
      <w:r>
        <w:rPr>
          <w:rFonts w:hint="eastAsia" w:ascii="宋体" w:hAnsi="宋体" w:eastAsia="宋体" w:cs="宋体"/>
          <w:bCs/>
          <w:szCs w:val="21"/>
        </w:rPr>
        <w:t>（6）有近距离交互功能模型需要精细建模，单体模型不能有穿插；</w:t>
      </w:r>
    </w:p>
    <w:p>
      <w:pPr>
        <w:widowControl/>
        <w:shd w:val="clear" w:color="auto" w:fill="FFFFFF"/>
        <w:ind w:firstLine="420"/>
        <w:rPr>
          <w:rFonts w:ascii="宋体" w:hAnsi="宋体" w:eastAsia="宋体" w:cs="宋体"/>
          <w:bCs/>
          <w:szCs w:val="21"/>
        </w:rPr>
      </w:pPr>
      <w:r>
        <w:rPr>
          <w:rFonts w:hint="eastAsia" w:ascii="宋体" w:hAnsi="宋体" w:eastAsia="宋体" w:cs="宋体"/>
          <w:bCs/>
          <w:szCs w:val="21"/>
        </w:rPr>
        <w:t>（7）场景内模型不能有闪面、重面、破面，不能有多边面，保证场景演示无闪烁现象；</w:t>
      </w:r>
    </w:p>
    <w:p>
      <w:pPr>
        <w:widowControl/>
        <w:shd w:val="clear" w:color="auto" w:fill="FFFFFF"/>
        <w:ind w:firstLine="420"/>
        <w:rPr>
          <w:rFonts w:ascii="宋体" w:hAnsi="宋体" w:eastAsia="宋体" w:cs="宋体"/>
          <w:bCs/>
          <w:szCs w:val="21"/>
        </w:rPr>
      </w:pPr>
      <w:r>
        <w:rPr>
          <w:rFonts w:hint="eastAsia" w:ascii="宋体" w:hAnsi="宋体" w:eastAsia="宋体" w:cs="宋体"/>
          <w:bCs/>
          <w:szCs w:val="21"/>
        </w:rPr>
        <w:t>（8）布线基于结构优化表现，所有模型必须都要有光滑组，光滑组处理符合标准；</w:t>
      </w:r>
    </w:p>
    <w:p>
      <w:pPr>
        <w:widowControl/>
        <w:shd w:val="clear" w:color="auto" w:fill="FFFFFF"/>
        <w:ind w:firstLine="420"/>
        <w:rPr>
          <w:rFonts w:ascii="宋体" w:hAnsi="宋体" w:eastAsia="宋体" w:cs="宋体"/>
          <w:bCs/>
          <w:szCs w:val="21"/>
        </w:rPr>
      </w:pPr>
      <w:r>
        <w:rPr>
          <w:rFonts w:hint="eastAsia" w:ascii="宋体" w:hAnsi="宋体" w:eastAsia="宋体" w:cs="宋体"/>
          <w:bCs/>
          <w:szCs w:val="21"/>
        </w:rPr>
        <w:t>（9）模型UV需要最大限度的利用UV空间，减少接缝；</w:t>
      </w:r>
    </w:p>
    <w:p>
      <w:pPr>
        <w:widowControl/>
        <w:shd w:val="clear" w:color="auto" w:fill="FFFFFF"/>
        <w:ind w:firstLine="420"/>
        <w:rPr>
          <w:rFonts w:ascii="宋体" w:hAnsi="宋体" w:eastAsia="宋体" w:cs="宋体"/>
          <w:bCs/>
          <w:szCs w:val="21"/>
        </w:rPr>
      </w:pPr>
      <w:r>
        <w:rPr>
          <w:rFonts w:hint="eastAsia" w:ascii="宋体" w:hAnsi="宋体" w:eastAsia="宋体" w:cs="宋体"/>
          <w:bCs/>
          <w:szCs w:val="21"/>
        </w:rPr>
        <w:t>（10）系统需进行场景烘焙，烘焙不能曝光过度，不能有黑边现象，烘焙方式视场景优化 情况而定；</w:t>
      </w:r>
    </w:p>
    <w:p>
      <w:pPr>
        <w:widowControl/>
        <w:shd w:val="clear" w:color="auto" w:fill="FFFFFF"/>
        <w:ind w:firstLine="420"/>
        <w:rPr>
          <w:rFonts w:ascii="宋体" w:hAnsi="宋体" w:eastAsia="宋体" w:cs="宋体"/>
          <w:bCs/>
          <w:szCs w:val="21"/>
        </w:rPr>
      </w:pPr>
      <w:r>
        <w:rPr>
          <w:rFonts w:hint="eastAsia" w:ascii="宋体" w:hAnsi="宋体" w:eastAsia="宋体" w:cs="宋体"/>
          <w:bCs/>
          <w:szCs w:val="21"/>
        </w:rPr>
        <w:t>（11）系统场景动画要求真实、自然，符合仿真训练要求；</w:t>
      </w:r>
    </w:p>
    <w:p>
      <w:pPr>
        <w:widowControl/>
        <w:shd w:val="clear" w:color="auto" w:fill="FFFFFF"/>
        <w:ind w:firstLine="420"/>
        <w:rPr>
          <w:rFonts w:ascii="宋体" w:hAnsi="宋体" w:eastAsia="宋体" w:cs="宋体"/>
          <w:bCs/>
          <w:szCs w:val="21"/>
        </w:rPr>
      </w:pPr>
      <w:r>
        <w:rPr>
          <w:rFonts w:hint="eastAsia" w:ascii="宋体" w:hAnsi="宋体" w:eastAsia="宋体" w:cs="宋体"/>
          <w:bCs/>
          <w:szCs w:val="21"/>
        </w:rPr>
        <w:t>（12）本系统建议模型总面数在300万三角面以内，材质球数量120个以内，贴图尺寸以512或1024级别为主；</w:t>
      </w:r>
    </w:p>
    <w:p>
      <w:pPr>
        <w:widowControl/>
        <w:shd w:val="clear" w:color="auto" w:fill="FFFFFF"/>
        <w:ind w:firstLine="420"/>
        <w:rPr>
          <w:rFonts w:ascii="宋体" w:hAnsi="宋体" w:eastAsia="宋体" w:cs="宋体"/>
          <w:bCs/>
          <w:szCs w:val="21"/>
        </w:rPr>
      </w:pPr>
      <w:r>
        <w:rPr>
          <w:rFonts w:hint="eastAsia" w:ascii="宋体" w:hAnsi="宋体" w:eastAsia="宋体" w:cs="宋体"/>
          <w:bCs/>
          <w:szCs w:val="21"/>
        </w:rPr>
        <w:t>（13）系统场景帧率理想情况下大于60帧，最低不低于30帧；</w:t>
      </w:r>
    </w:p>
    <w:p>
      <w:pPr>
        <w:widowControl/>
        <w:shd w:val="clear" w:color="auto" w:fill="FFFFFF"/>
        <w:spacing w:line="480" w:lineRule="auto"/>
        <w:ind w:firstLine="420"/>
        <w:rPr>
          <w:rFonts w:ascii="宋体" w:hAnsi="宋体" w:eastAsia="宋体" w:cs="宋体"/>
          <w:color w:val="FF0000"/>
          <w:kern w:val="0"/>
          <w:sz w:val="24"/>
          <w:szCs w:val="24"/>
        </w:rPr>
      </w:pP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（五）执行政府采购促进中小企业发展的相关政策</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 xml:space="preserve">1.■专门面向中小企业采购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□不专门面向中小企业采购</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 xml:space="preserve">面向的企业规模：■中小企业 </w:t>
      </w:r>
      <w:r>
        <w:rPr>
          <w:rFonts w:ascii="宋体" w:hAnsi="宋体" w:eastAsia="宋体" w:cs="宋体"/>
          <w:kern w:val="0"/>
          <w:sz w:val="24"/>
          <w:szCs w:val="24"/>
        </w:rPr>
        <w:t xml:space="preserve"> </w:t>
      </w:r>
      <w:r>
        <w:rPr>
          <w:rFonts w:hint="eastAsia" w:ascii="宋体" w:hAnsi="宋体" w:eastAsia="宋体" w:cs="宋体"/>
          <w:kern w:val="0"/>
          <w:sz w:val="24"/>
          <w:szCs w:val="24"/>
        </w:rPr>
        <w:t>■小微企业</w:t>
      </w:r>
    </w:p>
    <w:p>
      <w:pPr>
        <w:widowControl/>
        <w:shd w:val="clear" w:color="auto" w:fill="FFFFFF"/>
        <w:spacing w:line="480" w:lineRule="auto"/>
        <w:ind w:left="315" w:leftChars="150" w:firstLine="480" w:firstLineChars="200"/>
        <w:rPr>
          <w:rFonts w:ascii="宋体" w:hAnsi="宋体" w:eastAsia="宋体" w:cs="宋体"/>
          <w:kern w:val="0"/>
          <w:sz w:val="24"/>
          <w:szCs w:val="24"/>
        </w:rPr>
      </w:pPr>
      <w:r>
        <w:rPr>
          <w:rFonts w:hint="eastAsia" w:ascii="宋体" w:hAnsi="宋体" w:eastAsia="宋体" w:cs="宋体"/>
          <w:kern w:val="0"/>
          <w:sz w:val="24"/>
          <w:szCs w:val="24"/>
        </w:rPr>
        <w:t>预留形式：□项目整体预留  □设置专门采购包  □以联合体形式参加  □要求合同分包</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预留比例：    %</w:t>
      </w:r>
    </w:p>
    <w:p>
      <w:pPr>
        <w:widowControl/>
        <w:shd w:val="clear" w:color="auto" w:fill="FFFFFF"/>
        <w:spacing w:line="480" w:lineRule="auto"/>
        <w:ind w:firstLine="840" w:firstLineChars="350"/>
        <w:rPr>
          <w:rFonts w:ascii="宋体" w:hAnsi="宋体" w:eastAsia="宋体" w:cs="宋体"/>
          <w:kern w:val="0"/>
          <w:sz w:val="24"/>
          <w:szCs w:val="24"/>
        </w:rPr>
      </w:pPr>
      <w:r>
        <w:rPr>
          <w:rFonts w:hint="eastAsia" w:ascii="宋体" w:hAnsi="宋体" w:eastAsia="宋体" w:cs="宋体"/>
          <w:kern w:val="0"/>
          <w:sz w:val="24"/>
          <w:szCs w:val="24"/>
        </w:rPr>
        <w:t>不专门面向的原因：</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□法律法规和国家有关政策明确规定优先或者应当面向事业单位、社会组织等非企业主体采购的</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□因确需使用不可替代的专利、专有技术，基础设施限制，或者提供特定公共服务等原因，只能从中小企业之外的供应商处采购的</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□按照本办法规定预留采购份额无法确保充分供应、充分竞争，或者存在可能影响政府采购目标实现的情形</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□框架协议采购项目</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□省级以上人民政府财政部门规定的其他情形</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i/>
          <w:iCs/>
          <w:color w:val="333333"/>
          <w:kern w:val="0"/>
          <w:sz w:val="24"/>
          <w:szCs w:val="24"/>
        </w:rPr>
        <w:t>注：监狱企业和残疾人福利单位视同小微企业。</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（六）是否采购环境标识产品：是□ 否□</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（七）是否采购节能产品：是□ 否□</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（八）项目的采购标的是否包含进口产品：是□ 否□</w:t>
      </w:r>
    </w:p>
    <w:p>
      <w:pPr>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（九）采购标的是否属于政府购买服务：是□（填以下信息）  否</w:t>
      </w:r>
      <w:r>
        <w:rPr>
          <w:rFonts w:hint="eastAsia" w:ascii="宋体" w:hAnsi="宋体" w:eastAsia="宋体" w:cs="宋体"/>
          <w:color w:val="333333"/>
          <w:kern w:val="0"/>
          <w:sz w:val="24"/>
          <w:szCs w:val="24"/>
        </w:rPr>
        <w:sym w:font="Wingdings" w:char="F0FE"/>
      </w:r>
    </w:p>
    <w:p>
      <w:pPr>
        <w:ind w:firstLine="600" w:firstLineChars="250"/>
        <w:rPr>
          <w:rFonts w:ascii="宋体" w:hAnsi="宋体" w:eastAsia="宋体" w:cs="宋体"/>
          <w:color w:val="333333"/>
          <w:kern w:val="0"/>
          <w:sz w:val="24"/>
          <w:szCs w:val="24"/>
        </w:rPr>
      </w:pPr>
      <w:r>
        <w:rPr>
          <w:rFonts w:hint="eastAsia" w:ascii="宋体" w:hAnsi="宋体" w:eastAsia="宋体" w:cs="宋体"/>
          <w:color w:val="333333"/>
          <w:kern w:val="0"/>
          <w:sz w:val="24"/>
          <w:szCs w:val="24"/>
        </w:rPr>
        <w:t>政府购买服务的分类：□政府履职所需辅助性服务 □政府向社会公众提供的公共服务</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（十）是否属于政务信息系统项目：是□  否</w:t>
      </w:r>
      <w:r>
        <w:rPr>
          <w:rFonts w:hint="eastAsia" w:ascii="宋体" w:hAnsi="宋体" w:eastAsia="宋体" w:cs="宋体"/>
          <w:color w:val="333333"/>
          <w:kern w:val="0"/>
          <w:sz w:val="24"/>
          <w:szCs w:val="24"/>
        </w:rPr>
        <w:sym w:font="Wingdings" w:char="F0FE"/>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（十一）是否属于高校、科研院所的科研仪器设备采购：是□  否</w:t>
      </w:r>
      <w:r>
        <w:rPr>
          <w:rFonts w:hint="eastAsia" w:ascii="宋体" w:hAnsi="宋体" w:eastAsia="宋体" w:cs="宋体"/>
          <w:color w:val="333333"/>
          <w:kern w:val="0"/>
          <w:sz w:val="24"/>
          <w:szCs w:val="24"/>
        </w:rPr>
        <w:sym w:font="Wingdings" w:char="F0FE"/>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（十二）是否属于PPP项目：是□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w:char="F0FE"/>
      </w: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333333"/>
          <w:kern w:val="0"/>
          <w:sz w:val="27"/>
          <w:szCs w:val="27"/>
        </w:rPr>
        <w:t>四、项目需求及分包情况、采购标的</w:t>
      </w:r>
    </w:p>
    <w:p>
      <w:pPr>
        <w:widowControl/>
        <w:shd w:val="clear" w:color="auto" w:fill="FFFFFF"/>
        <w:spacing w:line="480" w:lineRule="auto"/>
        <w:outlineLvl w:val="4"/>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供应商一般资格要求</w:t>
      </w:r>
      <w:r>
        <w:rPr>
          <w:rFonts w:ascii="宋体" w:hAnsi="宋体" w:eastAsia="宋体" w:cs="宋体"/>
          <w:bCs/>
          <w:color w:val="333333"/>
          <w:kern w:val="0"/>
          <w:sz w:val="24"/>
          <w:szCs w:val="24"/>
        </w:rPr>
        <w:t>：</w:t>
      </w:r>
    </w:p>
    <w:tbl>
      <w:tblPr>
        <w:tblStyle w:val="11"/>
        <w:tblpPr w:leftFromText="180" w:rightFromText="180" w:horzAnchor="margin" w:tblpXSpec="center" w:tblpY="-1440"/>
        <w:tblW w:w="10875" w:type="dxa"/>
        <w:tblInd w:w="0" w:type="dxa"/>
        <w:shd w:val="clear" w:color="auto" w:fill="FFFFFF"/>
        <w:tblLayout w:type="autofit"/>
        <w:tblCellMar>
          <w:top w:w="0" w:type="dxa"/>
          <w:left w:w="0" w:type="dxa"/>
          <w:bottom w:w="0" w:type="dxa"/>
          <w:right w:w="0" w:type="dxa"/>
        </w:tblCellMar>
      </w:tblPr>
      <w:tblGrid>
        <w:gridCol w:w="487"/>
        <w:gridCol w:w="4803"/>
        <w:gridCol w:w="5585"/>
      </w:tblGrid>
      <w:tr>
        <w:tblPrEx>
          <w:shd w:val="clear" w:color="auto" w:fill="FFFFFF"/>
          <w:tblCellMar>
            <w:top w:w="0" w:type="dxa"/>
            <w:left w:w="0" w:type="dxa"/>
            <w:bottom w:w="0" w:type="dxa"/>
            <w:right w:w="0" w:type="dxa"/>
          </w:tblCellMar>
        </w:tblPrEx>
        <w:trPr>
          <w:trHeight w:val="480" w:hRule="atLeast"/>
          <w:tblHeader/>
        </w:trPr>
        <w:tc>
          <w:tcPr>
            <w:tcW w:w="521"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序号</w:t>
            </w:r>
          </w:p>
        </w:tc>
        <w:tc>
          <w:tcPr>
            <w:tcW w:w="4816"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资格要求名称</w:t>
            </w:r>
          </w:p>
        </w:tc>
        <w:tc>
          <w:tcPr>
            <w:tcW w:w="5538"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资格要求详细说明</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投标人应具有独立承担民事责任的能力</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3</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未被列入失信被执行人、重大税收违法案件当事人名单、政府采购严重违法失信行为记录名单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4</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未处于被行政部门禁止参与政府采购活动的期限内</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5</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行贿犯罪记录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6</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单位负责人为同一人或者存在直接控股、管理关系的不同供应商，不得参加同一项目的投标</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7</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投标文件签章</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投标文件加盖有投标人（法定名称）电子签章。【说明：无须提供证明材料，上传空白页即可，不对本项上传的材料作资格审查】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8</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投标文件资格响应文件的语言</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语言符合招标文件的要求。 【说明：投标人无须提供证明材料，上传空白页即可，不对本项上传的材料作资格审查】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9</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法律、行政法规规定的其他条件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采购人对法律、行政法规规定的其他条件无其他特殊要求，投标人可不提供证明材料。 【说明：投标人无须提供证明材料，上传空白页即可，不对本项上传的材料作资格审查】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不属于国家相关法律法规规定的其他禁止参加投标的情形</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pPr>
        <w:widowControl/>
        <w:shd w:val="clear" w:color="auto" w:fill="FFFFFF"/>
        <w:spacing w:line="480" w:lineRule="auto"/>
        <w:outlineLvl w:val="4"/>
        <w:rPr>
          <w:rFonts w:ascii="宋体" w:hAnsi="宋体" w:eastAsia="宋体" w:cs="宋体"/>
          <w:bCs/>
          <w:color w:val="333333"/>
          <w:kern w:val="0"/>
          <w:sz w:val="24"/>
          <w:szCs w:val="24"/>
        </w:rPr>
      </w:pPr>
    </w:p>
    <w:p>
      <w:pPr>
        <w:widowControl/>
        <w:shd w:val="clear" w:color="auto" w:fill="FFFFFF"/>
        <w:spacing w:line="480" w:lineRule="auto"/>
        <w:outlineLvl w:val="4"/>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供应商特殊资格要求（如有）：</w:t>
      </w:r>
    </w:p>
    <w:tbl>
      <w:tblPr>
        <w:tblStyle w:val="12"/>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969"/>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spacing w:line="480" w:lineRule="auto"/>
              <w:outlineLvl w:val="4"/>
              <w:rPr>
                <w:rFonts w:ascii="宋体" w:hAnsi="宋体" w:eastAsia="宋体" w:cs="宋体"/>
                <w:bCs/>
                <w:color w:val="333333"/>
                <w:kern w:val="0"/>
                <w:sz w:val="24"/>
                <w:szCs w:val="24"/>
              </w:rPr>
            </w:pPr>
            <w:r>
              <w:rPr>
                <w:rFonts w:ascii="宋体" w:hAnsi="宋体" w:eastAsia="宋体" w:cs="宋体"/>
                <w:b/>
                <w:bCs/>
                <w:kern w:val="0"/>
                <w:sz w:val="24"/>
                <w:szCs w:val="24"/>
              </w:rPr>
              <w:t>序号</w:t>
            </w:r>
          </w:p>
        </w:tc>
        <w:tc>
          <w:tcPr>
            <w:tcW w:w="3969" w:type="dxa"/>
          </w:tcPr>
          <w:p>
            <w:pPr>
              <w:widowControl/>
              <w:spacing w:line="480" w:lineRule="auto"/>
              <w:jc w:val="center"/>
              <w:outlineLvl w:val="4"/>
              <w:rPr>
                <w:rFonts w:ascii="宋体" w:hAnsi="宋体" w:eastAsia="宋体" w:cs="宋体"/>
                <w:bCs/>
                <w:color w:val="333333"/>
                <w:kern w:val="0"/>
                <w:sz w:val="24"/>
                <w:szCs w:val="24"/>
              </w:rPr>
            </w:pPr>
            <w:r>
              <w:rPr>
                <w:rFonts w:ascii="宋体" w:hAnsi="宋体" w:eastAsia="宋体" w:cs="宋体"/>
                <w:b/>
                <w:bCs/>
                <w:kern w:val="0"/>
                <w:sz w:val="24"/>
                <w:szCs w:val="24"/>
              </w:rPr>
              <w:t>资格要求名称</w:t>
            </w:r>
          </w:p>
        </w:tc>
        <w:tc>
          <w:tcPr>
            <w:tcW w:w="6237" w:type="dxa"/>
          </w:tcPr>
          <w:p>
            <w:pPr>
              <w:widowControl/>
              <w:spacing w:line="480" w:lineRule="auto"/>
              <w:jc w:val="center"/>
              <w:outlineLvl w:val="4"/>
              <w:rPr>
                <w:rFonts w:ascii="宋体" w:hAnsi="宋体" w:eastAsia="宋体" w:cs="宋体"/>
                <w:bCs/>
                <w:color w:val="333333"/>
                <w:kern w:val="0"/>
                <w:sz w:val="24"/>
                <w:szCs w:val="24"/>
              </w:rPr>
            </w:pPr>
            <w:r>
              <w:rPr>
                <w:rFonts w:ascii="宋体" w:hAnsi="宋体" w:eastAsia="宋体" w:cs="宋体"/>
                <w:b/>
                <w:bCs/>
                <w:kern w:val="0"/>
                <w:sz w:val="24"/>
                <w:szCs w:val="24"/>
              </w:rPr>
              <w:t>资格要求详细说明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spacing w:line="480" w:lineRule="auto"/>
              <w:outlineLvl w:val="4"/>
              <w:rPr>
                <w:rFonts w:ascii="宋体" w:hAnsi="宋体" w:eastAsia="宋体" w:cs="宋体"/>
                <w:bCs/>
                <w:color w:val="333333"/>
                <w:kern w:val="0"/>
                <w:sz w:val="24"/>
                <w:szCs w:val="24"/>
              </w:rPr>
            </w:pPr>
          </w:p>
        </w:tc>
        <w:tc>
          <w:tcPr>
            <w:tcW w:w="3969" w:type="dxa"/>
          </w:tcPr>
          <w:p>
            <w:pPr>
              <w:widowControl/>
              <w:spacing w:line="480" w:lineRule="auto"/>
              <w:outlineLvl w:val="4"/>
              <w:rPr>
                <w:rFonts w:ascii="宋体" w:hAnsi="宋体" w:eastAsia="宋体" w:cs="宋体"/>
                <w:bCs/>
                <w:color w:val="333333"/>
                <w:kern w:val="0"/>
                <w:sz w:val="24"/>
                <w:szCs w:val="24"/>
              </w:rPr>
            </w:pPr>
          </w:p>
        </w:tc>
        <w:tc>
          <w:tcPr>
            <w:tcW w:w="6237" w:type="dxa"/>
          </w:tcPr>
          <w:p>
            <w:pPr>
              <w:widowControl/>
              <w:spacing w:line="480" w:lineRule="auto"/>
              <w:outlineLvl w:val="4"/>
              <w:rPr>
                <w:rFonts w:ascii="宋体" w:hAnsi="宋体" w:eastAsia="宋体" w:cs="宋体"/>
                <w:bCs/>
                <w:color w:val="333333"/>
                <w:kern w:val="0"/>
                <w:sz w:val="24"/>
                <w:szCs w:val="24"/>
              </w:rPr>
            </w:pPr>
          </w:p>
        </w:tc>
      </w:tr>
    </w:tbl>
    <w:p>
      <w:pPr>
        <w:widowControl/>
        <w:shd w:val="clear" w:color="auto" w:fill="FFFFFF"/>
        <w:spacing w:line="480" w:lineRule="auto"/>
        <w:outlineLvl w:val="4"/>
        <w:rPr>
          <w:rFonts w:ascii="宋体" w:hAnsi="宋体" w:eastAsia="宋体" w:cs="宋体"/>
          <w:bCs/>
          <w:color w:val="333333"/>
          <w:kern w:val="0"/>
          <w:sz w:val="24"/>
          <w:szCs w:val="24"/>
        </w:rPr>
      </w:pPr>
    </w:p>
    <w:p>
      <w:pPr>
        <w:widowControl/>
        <w:shd w:val="clear" w:color="auto" w:fill="FFFFFF"/>
        <w:spacing w:line="480" w:lineRule="auto"/>
        <w:ind w:firstLine="420"/>
        <w:outlineLvl w:val="4"/>
        <w:rPr>
          <w:rFonts w:ascii="宋体" w:hAnsi="宋体" w:eastAsia="宋体" w:cs="宋体"/>
          <w:bCs/>
          <w:color w:val="333333"/>
          <w:kern w:val="0"/>
          <w:sz w:val="24"/>
          <w:szCs w:val="24"/>
        </w:rPr>
      </w:pPr>
    </w:p>
    <w:p>
      <w:pPr>
        <w:widowControl/>
        <w:shd w:val="clear" w:color="auto" w:fill="FFFFFF"/>
        <w:spacing w:line="480" w:lineRule="auto"/>
        <w:ind w:firstLine="420"/>
        <w:outlineLvl w:val="4"/>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技术要求与标准：</w:t>
      </w:r>
    </w:p>
    <w:p>
      <w:pPr>
        <w:widowControl/>
        <w:shd w:val="clear" w:color="auto" w:fill="FFFFFF"/>
        <w:spacing w:line="480" w:lineRule="auto"/>
        <w:ind w:firstLine="420"/>
        <w:outlineLvl w:val="4"/>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pPr>
        <w:widowControl/>
        <w:shd w:val="clear" w:color="auto" w:fill="FFFFFF"/>
        <w:spacing w:line="480" w:lineRule="auto"/>
        <w:ind w:firstLine="420"/>
        <w:outlineLvl w:val="4"/>
        <w:rPr>
          <w:rFonts w:ascii="宋体" w:hAnsi="宋体" w:eastAsia="宋体" w:cs="宋体"/>
          <w:b/>
          <w:bCs/>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品目信息一的</w:t>
      </w:r>
      <w:r>
        <w:rPr>
          <w:color w:val="000000" w:themeColor="text1"/>
          <w:sz w:val="24"/>
          <w14:textFill>
            <w14:solidFill>
              <w14:schemeClr w14:val="tx1"/>
            </w14:solidFill>
          </w14:textFill>
        </w:rPr>
        <w:t>标的参数：</w:t>
      </w:r>
    </w:p>
    <w:tbl>
      <w:tblPr>
        <w:tblStyle w:val="12"/>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851"/>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idowControl/>
              <w:spacing w:line="480" w:lineRule="auto"/>
              <w:rPr>
                <w:rFonts w:ascii="宋体" w:hAnsi="宋体" w:eastAsia="宋体" w:cs="宋体"/>
                <w:b/>
                <w:color w:val="333333"/>
                <w:kern w:val="0"/>
                <w:sz w:val="24"/>
                <w:szCs w:val="24"/>
              </w:rPr>
            </w:pPr>
            <w:r>
              <w:rPr>
                <w:rFonts w:hint="eastAsia" w:ascii="宋体" w:hAnsi="宋体" w:eastAsia="宋体" w:cs="宋体"/>
                <w:b/>
                <w:color w:val="333333"/>
                <w:kern w:val="0"/>
                <w:sz w:val="24"/>
                <w:szCs w:val="24"/>
              </w:rPr>
              <w:t>参数性质</w:t>
            </w:r>
          </w:p>
        </w:tc>
        <w:tc>
          <w:tcPr>
            <w:tcW w:w="851" w:type="dxa"/>
          </w:tcPr>
          <w:p>
            <w:pPr>
              <w:widowControl/>
              <w:spacing w:line="480" w:lineRule="auto"/>
              <w:rPr>
                <w:rFonts w:ascii="宋体" w:hAnsi="宋体" w:eastAsia="宋体" w:cs="宋体"/>
                <w:b/>
                <w:color w:val="333333"/>
                <w:kern w:val="0"/>
                <w:sz w:val="24"/>
                <w:szCs w:val="24"/>
              </w:rPr>
            </w:pPr>
            <w:r>
              <w:rPr>
                <w:rFonts w:hint="eastAsia" w:ascii="宋体" w:hAnsi="宋体" w:eastAsia="宋体" w:cs="宋体"/>
                <w:b/>
                <w:color w:val="333333"/>
                <w:kern w:val="0"/>
                <w:sz w:val="24"/>
                <w:szCs w:val="24"/>
              </w:rPr>
              <w:t>序号</w:t>
            </w:r>
          </w:p>
        </w:tc>
        <w:tc>
          <w:tcPr>
            <w:tcW w:w="8788" w:type="dxa"/>
          </w:tcPr>
          <w:p>
            <w:pPr>
              <w:widowControl/>
              <w:spacing w:line="480" w:lineRule="auto"/>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keepNext w:val="0"/>
              <w:keepLines w:val="0"/>
              <w:widowControl/>
              <w:suppressLineNumbers w:val="0"/>
              <w:jc w:val="left"/>
            </w:pPr>
            <w:r>
              <w:rPr>
                <w:rFonts w:ascii="宋体" w:hAnsi="宋体" w:eastAsia="宋体" w:cs="宋体"/>
                <w:bCs/>
                <w:sz w:val="24"/>
                <w:szCs w:val="24"/>
                <w:lang w:val="en-US" w:eastAsia="zh-CN"/>
              </w:rPr>
              <w:t>电磁场的场分布虚拟仿真实验</w:t>
            </w:r>
          </w:p>
          <w:p>
            <w:pPr>
              <w:widowControl/>
              <w:spacing w:line="480" w:lineRule="auto"/>
              <w:rPr>
                <w:rFonts w:ascii="宋体" w:hAnsi="宋体" w:eastAsia="宋体" w:cs="宋体"/>
                <w:color w:val="333333"/>
                <w:kern w:val="0"/>
                <w:sz w:val="24"/>
                <w:szCs w:val="24"/>
              </w:rPr>
            </w:pPr>
          </w:p>
        </w:tc>
        <w:tc>
          <w:tcPr>
            <w:tcW w:w="851"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8788" w:type="dxa"/>
          </w:tcPr>
          <w:p>
            <w:pPr>
              <w:pStyle w:val="56"/>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cs="宋体" w:eastAsiaTheme="minorEastAsia"/>
                <w:bCs/>
                <w:kern w:val="2"/>
                <w:sz w:val="21"/>
                <w:szCs w:val="21"/>
                <w:lang w:val="en-US" w:eastAsia="zh-CN" w:bidi="ar-SA"/>
              </w:rPr>
            </w:pPr>
            <w:r>
              <w:rPr>
                <w:rFonts w:hint="eastAsia" w:ascii="宋体" w:hAnsi="宋体" w:cs="宋体" w:eastAsiaTheme="minorEastAsia"/>
                <w:bCs/>
                <w:kern w:val="2"/>
                <w:sz w:val="21"/>
                <w:szCs w:val="21"/>
                <w:lang w:val="en-US" w:eastAsia="zh-CN" w:bidi="ar-SA"/>
              </w:rPr>
              <w:t>1、系统需通过三维仿真技术构建，由虚拟场景、虚拟设备组成的虚拟仿真实验项目。</w:t>
            </w:r>
          </w:p>
          <w:p>
            <w:pPr>
              <w:pStyle w:val="56"/>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cs="宋体" w:eastAsiaTheme="minorEastAsia"/>
                <w:bCs/>
                <w:kern w:val="2"/>
                <w:sz w:val="21"/>
                <w:szCs w:val="21"/>
                <w:lang w:val="en-US" w:eastAsia="zh-CN" w:bidi="ar-SA"/>
              </w:rPr>
            </w:pPr>
            <w:r>
              <w:rPr>
                <w:rFonts w:hint="eastAsia" w:ascii="宋体" w:hAnsi="宋体" w:cs="宋体" w:eastAsiaTheme="minorEastAsia"/>
                <w:bCs/>
                <w:kern w:val="2"/>
                <w:sz w:val="21"/>
                <w:szCs w:val="21"/>
                <w:lang w:val="en-US" w:eastAsia="zh-CN" w:bidi="ar-SA"/>
              </w:rPr>
              <w:t>2、使用者可在三维仿真模拟的实验场景中，可通过操作键盘、鼠标点击实验设备、实验环节进行操作，开展针对性的交互使用训练。</w:t>
            </w:r>
          </w:p>
          <w:p>
            <w:pPr>
              <w:pStyle w:val="56"/>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cs="宋体" w:eastAsiaTheme="minorEastAsia"/>
                <w:bCs/>
                <w:kern w:val="2"/>
                <w:sz w:val="21"/>
                <w:szCs w:val="21"/>
                <w:lang w:val="en-US" w:eastAsia="zh-CN" w:bidi="ar-SA"/>
              </w:rPr>
            </w:pPr>
            <w:r>
              <w:rPr>
                <w:rFonts w:hint="eastAsia" w:ascii="宋体" w:hAnsi="宋体" w:cs="宋体" w:eastAsiaTheme="minorEastAsia"/>
                <w:bCs/>
                <w:kern w:val="2"/>
                <w:sz w:val="21"/>
                <w:szCs w:val="21"/>
                <w:lang w:val="en-US" w:eastAsia="zh-CN" w:bidi="ar-SA"/>
              </w:rPr>
              <w:t xml:space="preserve">3、系统需配以文字、图片、等相关介绍，进行实验教学培训、授课、考核等实验教学工作，同时使学生能够不受时间和地点限制，完成专业的培训和锻炼，建成一套技术先进与实用相结合的实验教学系统。 </w:t>
            </w:r>
          </w:p>
          <w:p>
            <w:pPr>
              <w:pStyle w:val="56"/>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cs="宋体" w:eastAsiaTheme="minorEastAsia"/>
                <w:bCs/>
                <w:kern w:val="2"/>
                <w:sz w:val="21"/>
                <w:szCs w:val="21"/>
                <w:lang w:val="en-US" w:eastAsia="zh-CN" w:bidi="ar-SA"/>
              </w:rPr>
            </w:pPr>
            <w:r>
              <w:rPr>
                <w:rFonts w:hint="eastAsia" w:ascii="宋体" w:hAnsi="宋体" w:cs="宋体" w:eastAsiaTheme="minorEastAsia"/>
                <w:bCs/>
                <w:kern w:val="2"/>
                <w:sz w:val="21"/>
                <w:szCs w:val="21"/>
                <w:lang w:val="en-US" w:eastAsia="zh-CN" w:bidi="ar-SA"/>
              </w:rPr>
              <w:t>4、不限客户端数，支持同时在线人数500人以上。</w:t>
            </w:r>
          </w:p>
          <w:p>
            <w:pPr>
              <w:pStyle w:val="56"/>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cs="宋体" w:eastAsiaTheme="minorEastAsia"/>
                <w:bCs/>
                <w:kern w:val="2"/>
                <w:sz w:val="21"/>
                <w:szCs w:val="21"/>
                <w:lang w:val="en-US" w:eastAsia="zh-CN" w:bidi="ar-SA"/>
              </w:rPr>
            </w:pPr>
            <w:r>
              <w:rPr>
                <w:rFonts w:hint="eastAsia" w:ascii="宋体" w:hAnsi="宋体" w:cs="宋体" w:eastAsiaTheme="minorEastAsia"/>
                <w:bCs/>
                <w:kern w:val="2"/>
                <w:sz w:val="21"/>
                <w:szCs w:val="21"/>
                <w:lang w:val="en-US" w:eastAsia="zh-CN" w:bidi="ar-SA"/>
              </w:rPr>
              <w:t>5、为保证系统的交互性和扩展性，系统架构采用Visual Studio技术开发，场景仿真以Unity3D技术实现，用户可调整任意视角或在场景内漫游观察实验现象。</w:t>
            </w:r>
          </w:p>
          <w:p>
            <w:pPr>
              <w:pStyle w:val="56"/>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cs="宋体" w:eastAsiaTheme="minorEastAsia"/>
                <w:bCs/>
                <w:kern w:val="2"/>
                <w:sz w:val="21"/>
                <w:szCs w:val="21"/>
                <w:lang w:val="en-US" w:eastAsia="zh-CN" w:bidi="ar-SA"/>
              </w:rPr>
            </w:pPr>
            <w:r>
              <w:rPr>
                <w:rFonts w:hint="eastAsia" w:ascii="宋体" w:hAnsi="宋体" w:cs="宋体" w:eastAsiaTheme="minorEastAsia"/>
                <w:bCs/>
                <w:kern w:val="2"/>
                <w:sz w:val="21"/>
                <w:szCs w:val="21"/>
                <w:lang w:val="en-US" w:eastAsia="zh-CN" w:bidi="ar-SA"/>
              </w:rPr>
              <w:t>6、要求根据具体实验内容，符合主流的软件交互方式，支持鼠标、键盘操作。</w:t>
            </w:r>
          </w:p>
          <w:p>
            <w:pPr>
              <w:pStyle w:val="56"/>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cs="宋体" w:eastAsiaTheme="minorEastAsia"/>
                <w:bCs/>
                <w:kern w:val="2"/>
                <w:sz w:val="21"/>
                <w:szCs w:val="21"/>
                <w:lang w:val="en-US" w:eastAsia="zh-CN" w:bidi="ar-SA"/>
              </w:rPr>
            </w:pPr>
            <w:r>
              <w:rPr>
                <w:rFonts w:hint="eastAsia" w:ascii="宋体" w:hAnsi="宋体" w:cs="宋体" w:eastAsiaTheme="minorEastAsia"/>
                <w:bCs/>
                <w:kern w:val="2"/>
                <w:sz w:val="21"/>
                <w:szCs w:val="21"/>
                <w:lang w:val="en-US" w:eastAsia="zh-CN" w:bidi="ar-SA"/>
              </w:rPr>
              <w:t>7、系统可根据需要提供快速导航功能，能以箭头、流程图、示意图等形式指导使用者开展实验。</w:t>
            </w:r>
          </w:p>
          <w:p>
            <w:pPr>
              <w:pStyle w:val="56"/>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cs="宋体" w:eastAsiaTheme="minorEastAsia"/>
                <w:bCs/>
                <w:kern w:val="2"/>
                <w:sz w:val="21"/>
                <w:szCs w:val="21"/>
                <w:lang w:val="en-US" w:eastAsia="zh-CN" w:bidi="ar-SA"/>
              </w:rPr>
            </w:pPr>
            <w:r>
              <w:rPr>
                <w:rFonts w:hint="eastAsia" w:ascii="宋体" w:hAnsi="宋体" w:cs="宋体" w:eastAsiaTheme="minorEastAsia"/>
                <w:bCs/>
                <w:kern w:val="2"/>
                <w:sz w:val="21"/>
                <w:szCs w:val="21"/>
                <w:lang w:val="en-US" w:eastAsia="zh-CN" w:bidi="ar-SA"/>
              </w:rPr>
              <w:t>8、提供静电场分布分析，以带电球体为实验模型，仿真模拟静电场分布。</w:t>
            </w:r>
          </w:p>
          <w:p>
            <w:pPr>
              <w:pStyle w:val="56"/>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cs="宋体" w:eastAsiaTheme="minorEastAsia"/>
                <w:bCs/>
                <w:kern w:val="2"/>
                <w:sz w:val="21"/>
                <w:szCs w:val="21"/>
                <w:lang w:val="en-US" w:eastAsia="zh-CN" w:bidi="ar-SA"/>
              </w:rPr>
            </w:pPr>
            <w:r>
              <w:rPr>
                <w:rFonts w:hint="eastAsia" w:ascii="宋体" w:hAnsi="宋体" w:cs="宋体" w:eastAsiaTheme="minorEastAsia"/>
                <w:bCs/>
                <w:kern w:val="2"/>
                <w:sz w:val="21"/>
                <w:szCs w:val="21"/>
                <w:lang w:val="en-US" w:eastAsia="zh-CN" w:bidi="ar-SA"/>
              </w:rPr>
              <w:t>9、提供静磁场分布分析，以变压器磁铁模型为基础，设置仿真参数模拟静态磁场分布。</w:t>
            </w:r>
          </w:p>
          <w:p>
            <w:pPr>
              <w:pStyle w:val="56"/>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cs="宋体" w:eastAsiaTheme="minorEastAsia"/>
                <w:bCs/>
                <w:kern w:val="2"/>
                <w:sz w:val="21"/>
                <w:szCs w:val="21"/>
                <w:lang w:val="en-US" w:eastAsia="zh-CN" w:bidi="ar-SA"/>
              </w:rPr>
            </w:pPr>
            <w:r>
              <w:rPr>
                <w:rFonts w:hint="eastAsia" w:ascii="宋体" w:hAnsi="宋体" w:cs="宋体" w:eastAsiaTheme="minorEastAsia"/>
                <w:bCs/>
                <w:kern w:val="2"/>
                <w:sz w:val="21"/>
                <w:szCs w:val="21"/>
                <w:lang w:val="en-US" w:eastAsia="zh-CN" w:bidi="ar-SA"/>
              </w:rPr>
              <w:t>10、提供时变电磁场分布，以双导线时变电磁场传输模型为基础，温习传输线分 布参数模型，传输线波形，负载匹配等基本理论，仿真分析双导线时变电磁场的传输过程。</w:t>
            </w:r>
          </w:p>
          <w:p>
            <w:pPr>
              <w:pStyle w:val="56"/>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cs="宋体" w:eastAsiaTheme="minorEastAsia"/>
                <w:bCs/>
                <w:kern w:val="2"/>
                <w:sz w:val="21"/>
                <w:szCs w:val="21"/>
                <w:lang w:val="en-US" w:eastAsia="zh-CN" w:bidi="ar-SA"/>
              </w:rPr>
            </w:pPr>
            <w:r>
              <w:rPr>
                <w:rFonts w:hint="eastAsia" w:ascii="宋体" w:hAnsi="宋体" w:cs="宋体" w:eastAsiaTheme="minorEastAsia"/>
                <w:bCs/>
                <w:kern w:val="2"/>
                <w:sz w:val="21"/>
                <w:szCs w:val="21"/>
                <w:lang w:val="en-US" w:eastAsia="zh-CN" w:bidi="ar-SA"/>
              </w:rPr>
              <w:t>11、波导传输线，以矩形波导为基础，温习矩形波导场分布、工作模式、传输特性、阻抗特性等基本理论，仿真分析矩形波导的传输模式电磁场分布，直观学习波导传输线中电磁波的传输过程。</w:t>
            </w:r>
          </w:p>
          <w:p>
            <w:pPr>
              <w:pStyle w:val="56"/>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cs="宋体" w:eastAsiaTheme="minorEastAsia"/>
                <w:bCs/>
                <w:kern w:val="2"/>
                <w:sz w:val="21"/>
                <w:szCs w:val="21"/>
                <w:lang w:val="en-US" w:eastAsia="zh-CN" w:bidi="ar-SA"/>
              </w:rPr>
            </w:pPr>
            <w:r>
              <w:rPr>
                <w:rFonts w:hint="eastAsia" w:ascii="宋体" w:hAnsi="宋体" w:cs="宋体" w:eastAsiaTheme="minorEastAsia"/>
                <w:bCs/>
                <w:kern w:val="2"/>
                <w:sz w:val="21"/>
                <w:szCs w:val="21"/>
                <w:lang w:val="en-US" w:eastAsia="zh-CN" w:bidi="ar-SA"/>
              </w:rPr>
              <w:t>12、微波测量，支持测试电磁波波长、频率、器件阻抗等参数测试。</w:t>
            </w:r>
          </w:p>
          <w:p>
            <w:pPr>
              <w:pStyle w:val="56"/>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cs="宋体" w:eastAsiaTheme="minorEastAsia"/>
                <w:bCs/>
                <w:kern w:val="2"/>
                <w:sz w:val="21"/>
                <w:szCs w:val="21"/>
                <w:lang w:val="en-US" w:eastAsia="zh-CN" w:bidi="ar-SA"/>
              </w:rPr>
            </w:pPr>
            <w:r>
              <w:rPr>
                <w:rFonts w:hint="eastAsia" w:ascii="宋体" w:hAnsi="宋体" w:cs="宋体" w:eastAsiaTheme="minorEastAsia"/>
                <w:bCs/>
                <w:kern w:val="2"/>
                <w:sz w:val="21"/>
                <w:szCs w:val="21"/>
                <w:lang w:val="en-US" w:eastAsia="zh-CN" w:bidi="ar-SA"/>
              </w:rPr>
              <w:t>13、系统采用动画展示电磁波的产生、传播过程等过程，直观形象观察电磁波的产生和传输过程。</w:t>
            </w:r>
          </w:p>
          <w:p>
            <w:pPr>
              <w:snapToGrid w:val="0"/>
              <w:jc w:val="left"/>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4</w:t>
            </w:r>
            <w:r>
              <w:rPr>
                <w:rFonts w:hint="eastAsia" w:ascii="宋体" w:hAnsi="宋体" w:cs="宋体"/>
                <w:bCs/>
                <w:szCs w:val="21"/>
              </w:rPr>
              <w:t>、提供理论学习功能，教师可对课程的章节知识点进行维护维护，支持多类型习题，包括单选、判断、多选、排序、填空和问答题；支持对习题进行编辑，题目内容支持文字、图片和视频等多媒体的编辑，可以添加题目提示、题目分值；选项（单选、多选、判断）：支持文字图片相结合的形式，可以添加选项说明，支持选项的增、删、改、排序等操作，也可以设置选项的显示形式（每行几列）；题目支持答案（单选、判断、多选和排序题支持手动点击设置，填空题对空格支持批量设置答案和答案解析）和答案解析的设置；支持实时预览题目的修改结果。（提供截图证明并加盖投标人公章）</w:t>
            </w:r>
          </w:p>
          <w:p>
            <w:pPr>
              <w:pStyle w:val="2"/>
              <w:rPr>
                <w:rFonts w:hint="eastAsia" w:ascii="宋体" w:hAnsi="宋体" w:cs="宋体"/>
                <w:bCs/>
                <w:szCs w:val="21"/>
              </w:rPr>
            </w:pPr>
            <w:r>
              <w:rPr>
                <w:rFonts w:hint="eastAsia" w:ascii="宋体" w:hAnsi="宋体" w:cs="宋体"/>
                <w:bCs/>
                <w:kern w:val="0"/>
                <w:szCs w:val="21"/>
              </w:rPr>
              <w:t>▲1</w:t>
            </w:r>
            <w:r>
              <w:rPr>
                <w:rFonts w:hint="eastAsia" w:ascii="宋体" w:hAnsi="宋体" w:cs="宋体"/>
                <w:bCs/>
                <w:kern w:val="0"/>
                <w:szCs w:val="21"/>
                <w:lang w:val="en-US" w:eastAsia="zh-CN"/>
              </w:rPr>
              <w:t>5</w:t>
            </w:r>
            <w:r>
              <w:rPr>
                <w:rFonts w:hint="eastAsia" w:ascii="宋体" w:hAnsi="宋体" w:cs="宋体"/>
                <w:bCs/>
                <w:kern w:val="0"/>
                <w:szCs w:val="21"/>
              </w:rPr>
              <w:t>、</w:t>
            </w:r>
            <w:r>
              <w:rPr>
                <w:rFonts w:hint="eastAsia" w:ascii="宋体" w:hAnsi="宋体" w:cs="宋体"/>
                <w:bCs/>
                <w:szCs w:val="21"/>
              </w:rPr>
              <w:t>提供理论考试功能，提供试卷库管理，平台提供三种组卷方式，包括：策略组卷、人工组卷和导入试卷，同时支持对试卷（习题属性和试题之间的关系、试卷总分、大题总分）进行整体修改。（提供截图证明并加盖投标人公章）</w:t>
            </w:r>
          </w:p>
          <w:p>
            <w:pPr>
              <w:pStyle w:val="2"/>
              <w:spacing w:line="240" w:lineRule="auto"/>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16</w:t>
            </w:r>
            <w:r>
              <w:rPr>
                <w:rFonts w:hint="eastAsia" w:ascii="宋体" w:hAnsi="宋体" w:cs="宋体"/>
                <w:bCs/>
                <w:szCs w:val="21"/>
              </w:rPr>
              <w:t>、提供实验报告管理功能，支持学生在线提交实验报告，教师可对实验报告进行在线批注和批改。也支持实验报告上传PDF，支持PDF在线预览和批改，可将批改后的实验报告带批改痕迹导出。（提供截图证明并加盖投标人公章）</w:t>
            </w:r>
          </w:p>
          <w:p>
            <w:pPr>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17</w:t>
            </w:r>
            <w:r>
              <w:rPr>
                <w:rFonts w:hint="eastAsia" w:ascii="宋体" w:hAnsi="宋体" w:cs="宋体"/>
                <w:bCs/>
                <w:szCs w:val="21"/>
              </w:rPr>
              <w:t>、实验报告支持html、word、pdf三种导出模式，学生可以任意一种形式导出自己的实验报告，教师可选择以任意一种形式批量导出单个实验的所有实验报告。（提供截图证明并加盖投标人公章）</w:t>
            </w:r>
          </w:p>
          <w:p>
            <w:pPr>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18</w:t>
            </w:r>
            <w:r>
              <w:rPr>
                <w:rFonts w:hint="eastAsia" w:ascii="宋体" w:hAnsi="宋体" w:cs="宋体"/>
                <w:bCs/>
                <w:szCs w:val="21"/>
              </w:rPr>
              <w:t>提供实验过程智能指导和智能批改的功能，学生可以在实验过程中请求指导，可智能按当前操作给出指导意见。提交实验结果后可自动给出实验操作成绩。（提供截图证明并加盖投标人公章）</w:t>
            </w:r>
          </w:p>
          <w:p>
            <w:pPr>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19</w:t>
            </w:r>
            <w:r>
              <w:rPr>
                <w:rFonts w:hint="eastAsia" w:ascii="宋体" w:hAnsi="宋体" w:cs="宋体"/>
                <w:bCs/>
                <w:szCs w:val="21"/>
              </w:rPr>
              <w:t>、为实验资源提供了操作存档回放和断点续做的功能。教师端可以通过回放功能，查看学生的操作过程。（提供截图证明并加盖投标人公章）</w:t>
            </w:r>
          </w:p>
          <w:p>
            <w:pPr>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20</w:t>
            </w:r>
            <w:r>
              <w:rPr>
                <w:rFonts w:hint="eastAsia" w:ascii="宋体" w:hAnsi="宋体" w:cs="宋体"/>
                <w:bCs/>
                <w:szCs w:val="21"/>
              </w:rPr>
              <w:t>、实训操作排队提醒要求：对于实训资源不足的情况，支持学生进行排队，并可以查询当前排队信息。（提供截图证明并加盖投标人公章）</w:t>
            </w:r>
          </w:p>
          <w:p>
            <w:pPr>
              <w:rPr>
                <w:rFonts w:hint="eastAsia" w:ascii="宋体" w:hAnsi="宋体" w:cs="宋体"/>
                <w:bCs/>
                <w:szCs w:val="21"/>
              </w:rPr>
            </w:pPr>
            <w:r>
              <w:rPr>
                <w:rFonts w:hint="eastAsia" w:ascii="宋体" w:hAnsi="宋体" w:cs="宋体"/>
                <w:bCs/>
                <w:szCs w:val="21"/>
              </w:rPr>
              <w:t>▲2</w:t>
            </w:r>
            <w:r>
              <w:rPr>
                <w:rFonts w:hint="eastAsia" w:ascii="宋体" w:hAnsi="宋体" w:cs="宋体"/>
                <w:bCs/>
                <w:szCs w:val="21"/>
                <w:lang w:val="en-US" w:eastAsia="zh-CN"/>
              </w:rPr>
              <w:t>1</w:t>
            </w:r>
            <w:r>
              <w:rPr>
                <w:rFonts w:hint="eastAsia" w:ascii="宋体" w:hAnsi="宋体" w:cs="宋体"/>
                <w:bCs/>
                <w:szCs w:val="21"/>
              </w:rPr>
              <w:t>、对项目进行联通监测，支持每周7*24*2的双倍智能监测，统计联通率、停滞率、总时长、联通时长、停滞时长。支持异常检测结果的推送并自动生成检测报告。（提供截图证明并加盖投标人公章）</w:t>
            </w:r>
          </w:p>
          <w:p>
            <w:pPr>
              <w:widowControl/>
              <w:rPr>
                <w:rFonts w:hint="eastAsia"/>
              </w:rPr>
            </w:pPr>
            <w:r>
              <w:rPr>
                <w:rFonts w:hint="eastAsia" w:ascii="Calibri" w:hAnsi="Calibri"/>
                <w:szCs w:val="21"/>
              </w:rPr>
              <w:t>▲</w:t>
            </w:r>
            <w:r>
              <w:rPr>
                <w:rFonts w:hint="eastAsia" w:hAnsi="宋体"/>
                <w:bCs/>
                <w:szCs w:val="21"/>
              </w:rPr>
              <w:t>22、采用云渲染的技术，将虚拟仿真实验软件放在远程的服务器中渲染，用户无需安装任何插件通过Web可以直接运行虚拟仿真实验软件；打开程序响应时间为5-10秒，虚拟仿真软件的运维及监控，保证项目稳定运行。</w:t>
            </w:r>
            <w:r>
              <w:rPr>
                <w:rFonts w:hint="eastAsia" w:ascii="Calibri" w:hAnsi="Calibri"/>
                <w:szCs w:val="21"/>
              </w:rPr>
              <w:t>（提供截图证明并加盖投标人公章）</w:t>
            </w:r>
          </w:p>
          <w:p>
            <w:pPr>
              <w:pStyle w:val="56"/>
              <w:pageBreakBefore w:val="0"/>
              <w:numPr>
                <w:ilvl w:val="0"/>
                <w:numId w:val="0"/>
              </w:numPr>
              <w:kinsoku/>
              <w:wordWrap/>
              <w:overflowPunct/>
              <w:topLinePunct w:val="0"/>
              <w:autoSpaceDE/>
              <w:autoSpaceDN/>
              <w:bidi w:val="0"/>
              <w:adjustRightInd/>
              <w:spacing w:line="240" w:lineRule="auto"/>
              <w:ind w:leftChars="0"/>
              <w:jc w:val="left"/>
              <w:textAlignment w:val="auto"/>
              <w:rPr>
                <w:rFonts w:hint="default" w:ascii="宋体" w:hAnsi="宋体" w:cs="宋体"/>
                <w:color w:val="000000"/>
                <w:kern w:val="0"/>
                <w:sz w:val="24"/>
                <w:szCs w:val="24"/>
                <w:lang w:val="en-US" w:eastAsia="zh-CN" w:bidi="ar"/>
              </w:rPr>
            </w:pPr>
          </w:p>
          <w:p>
            <w:pPr>
              <w:widowControl/>
              <w:rPr>
                <w:rFonts w:ascii="宋体" w:hAnsi="宋体" w:eastAsia="宋体" w:cs="宋体"/>
                <w:color w:val="333333"/>
                <w:kern w:val="0"/>
                <w:sz w:val="24"/>
                <w:szCs w:val="24"/>
              </w:rPr>
            </w:pPr>
          </w:p>
        </w:tc>
      </w:tr>
    </w:tbl>
    <w:p>
      <w:pPr>
        <w:widowControl/>
        <w:shd w:val="clear" w:color="auto" w:fill="FFFFFF"/>
        <w:spacing w:line="480" w:lineRule="auto"/>
        <w:ind w:firstLine="360" w:firstLineChars="150"/>
        <w:rPr>
          <w:rFonts w:ascii="宋体" w:hAnsi="宋体" w:eastAsia="宋体" w:cs="宋体"/>
          <w:color w:val="FF0000"/>
          <w:kern w:val="0"/>
          <w:sz w:val="24"/>
          <w:szCs w:val="24"/>
        </w:rPr>
      </w:pPr>
      <w:r>
        <w:rPr>
          <w:rFonts w:hint="eastAsia" w:ascii="宋体" w:hAnsi="宋体" w:eastAsia="宋体" w:cs="宋体"/>
          <w:color w:val="FF0000"/>
          <w:kern w:val="0"/>
          <w:sz w:val="24"/>
          <w:szCs w:val="24"/>
        </w:rPr>
        <w:t>评审</w:t>
      </w:r>
      <w:r>
        <w:rPr>
          <w:rFonts w:ascii="宋体" w:hAnsi="宋体" w:eastAsia="宋体" w:cs="宋体"/>
          <w:color w:val="FF0000"/>
          <w:kern w:val="0"/>
          <w:sz w:val="24"/>
          <w:szCs w:val="24"/>
        </w:rPr>
        <w:t>条款</w:t>
      </w:r>
      <w:r>
        <w:rPr>
          <w:rFonts w:hint="eastAsia" w:ascii="宋体" w:hAnsi="宋体" w:eastAsia="宋体" w:cs="宋体"/>
          <w:color w:val="FF0000"/>
          <w:kern w:val="0"/>
          <w:sz w:val="24"/>
          <w:szCs w:val="24"/>
        </w:rPr>
        <w:t>：</w:t>
      </w:r>
    </w:p>
    <w:p>
      <w:pPr>
        <w:widowControl/>
        <w:shd w:val="clear" w:color="auto" w:fill="FFFFFF"/>
        <w:spacing w:line="480" w:lineRule="auto"/>
        <w:ind w:firstLine="360" w:firstLineChars="15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☑综合评分法      </w:t>
      </w:r>
    </w:p>
    <w:tbl>
      <w:tblPr>
        <w:tblStyle w:val="11"/>
        <w:tblW w:w="9920" w:type="dxa"/>
        <w:tblInd w:w="-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80"/>
        <w:gridCol w:w="940"/>
        <w:gridCol w:w="1100"/>
        <w:gridCol w:w="5181"/>
        <w:gridCol w:w="64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80" w:type="dxa"/>
            <w:shd w:val="clear" w:color="auto" w:fill="FFFFFF"/>
            <w:noWrap w:val="0"/>
            <w:vAlign w:val="center"/>
          </w:tcPr>
          <w:p>
            <w:pPr>
              <w:widowControl/>
              <w:spacing w:line="480" w:lineRule="auto"/>
              <w:jc w:val="center"/>
              <w:rPr>
                <w:rFonts w:ascii="宋体" w:hAnsi="宋体" w:cs="宋体"/>
                <w:b/>
                <w:color w:val="333333"/>
                <w:kern w:val="0"/>
                <w:szCs w:val="21"/>
              </w:rPr>
            </w:pPr>
            <w:r>
              <w:rPr>
                <w:rFonts w:hint="eastAsia" w:ascii="宋体" w:hAnsi="宋体" w:cs="宋体"/>
                <w:b/>
                <w:color w:val="333333"/>
                <w:kern w:val="0"/>
                <w:szCs w:val="21"/>
              </w:rPr>
              <w:t>评审项编号</w:t>
            </w:r>
          </w:p>
        </w:tc>
        <w:tc>
          <w:tcPr>
            <w:tcW w:w="940" w:type="dxa"/>
            <w:shd w:val="clear" w:color="auto" w:fill="FFFFFF"/>
            <w:noWrap w:val="0"/>
            <w:vAlign w:val="center"/>
          </w:tcPr>
          <w:p>
            <w:pPr>
              <w:widowControl/>
              <w:spacing w:line="480" w:lineRule="auto"/>
              <w:jc w:val="center"/>
              <w:rPr>
                <w:rFonts w:ascii="宋体" w:hAnsi="宋体" w:cs="宋体"/>
                <w:b/>
                <w:color w:val="333333"/>
                <w:kern w:val="0"/>
                <w:szCs w:val="21"/>
              </w:rPr>
            </w:pPr>
            <w:r>
              <w:rPr>
                <w:rFonts w:hint="eastAsia" w:ascii="宋体" w:hAnsi="宋体" w:cs="宋体"/>
                <w:b/>
                <w:color w:val="333333"/>
                <w:kern w:val="0"/>
                <w:szCs w:val="21"/>
              </w:rPr>
              <w:t>一级评审项</w:t>
            </w:r>
          </w:p>
        </w:tc>
        <w:tc>
          <w:tcPr>
            <w:tcW w:w="1100" w:type="dxa"/>
            <w:shd w:val="clear" w:color="auto" w:fill="FFFFFF"/>
            <w:noWrap w:val="0"/>
            <w:vAlign w:val="center"/>
          </w:tcPr>
          <w:p>
            <w:pPr>
              <w:widowControl/>
              <w:spacing w:line="480" w:lineRule="auto"/>
              <w:jc w:val="center"/>
              <w:rPr>
                <w:rFonts w:ascii="宋体" w:hAnsi="宋体" w:cs="宋体"/>
                <w:b/>
                <w:color w:val="333333"/>
                <w:kern w:val="0"/>
                <w:szCs w:val="21"/>
              </w:rPr>
            </w:pPr>
            <w:r>
              <w:rPr>
                <w:rFonts w:hint="eastAsia" w:ascii="宋体" w:hAnsi="宋体" w:cs="宋体"/>
                <w:b/>
                <w:color w:val="333333"/>
                <w:kern w:val="0"/>
                <w:szCs w:val="21"/>
              </w:rPr>
              <w:t>二级评审项</w:t>
            </w:r>
          </w:p>
        </w:tc>
        <w:tc>
          <w:tcPr>
            <w:tcW w:w="5181" w:type="dxa"/>
            <w:shd w:val="clear" w:color="auto" w:fill="FFFFFF"/>
            <w:noWrap w:val="0"/>
            <w:vAlign w:val="center"/>
          </w:tcPr>
          <w:p>
            <w:pPr>
              <w:widowControl/>
              <w:spacing w:line="480" w:lineRule="auto"/>
              <w:jc w:val="center"/>
              <w:rPr>
                <w:rFonts w:ascii="宋体" w:hAnsi="宋体" w:cs="宋体"/>
                <w:b/>
                <w:color w:val="333333"/>
                <w:kern w:val="0"/>
                <w:szCs w:val="21"/>
              </w:rPr>
            </w:pPr>
            <w:r>
              <w:rPr>
                <w:rFonts w:hint="eastAsia" w:ascii="宋体" w:hAnsi="宋体" w:cs="宋体"/>
                <w:b/>
                <w:color w:val="333333"/>
                <w:kern w:val="0"/>
                <w:szCs w:val="21"/>
              </w:rPr>
              <w:t>详细要求</w:t>
            </w:r>
          </w:p>
        </w:tc>
        <w:tc>
          <w:tcPr>
            <w:tcW w:w="640" w:type="dxa"/>
            <w:shd w:val="clear" w:color="auto" w:fill="FFFFFF"/>
            <w:noWrap w:val="0"/>
            <w:vAlign w:val="center"/>
          </w:tcPr>
          <w:p>
            <w:pPr>
              <w:widowControl/>
              <w:spacing w:line="480" w:lineRule="auto"/>
              <w:jc w:val="center"/>
              <w:rPr>
                <w:rFonts w:ascii="宋体" w:hAnsi="宋体" w:cs="宋体"/>
                <w:b/>
                <w:color w:val="333333"/>
                <w:kern w:val="0"/>
                <w:szCs w:val="21"/>
              </w:rPr>
            </w:pPr>
            <w:r>
              <w:rPr>
                <w:rFonts w:hint="eastAsia" w:ascii="宋体" w:hAnsi="宋体" w:cs="宋体"/>
                <w:b/>
                <w:color w:val="333333"/>
                <w:kern w:val="0"/>
                <w:szCs w:val="21"/>
              </w:rPr>
              <w:t>分值</w:t>
            </w:r>
          </w:p>
        </w:tc>
        <w:tc>
          <w:tcPr>
            <w:tcW w:w="1079" w:type="dxa"/>
            <w:shd w:val="clear" w:color="auto" w:fill="FFFFFF"/>
            <w:noWrap w:val="0"/>
            <w:vAlign w:val="center"/>
          </w:tcPr>
          <w:p>
            <w:pPr>
              <w:widowControl/>
              <w:spacing w:line="480" w:lineRule="auto"/>
              <w:jc w:val="center"/>
              <w:rPr>
                <w:rFonts w:hint="eastAsia" w:ascii="宋体" w:hAnsi="宋体" w:cs="宋体"/>
                <w:b/>
                <w:color w:val="333333"/>
                <w:kern w:val="0"/>
                <w:szCs w:val="21"/>
              </w:rPr>
            </w:pPr>
            <w:r>
              <w:rPr>
                <w:rFonts w:hint="eastAsia" w:ascii="宋体" w:hAnsi="宋体" w:cs="宋体"/>
                <w:b/>
                <w:color w:val="333333"/>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66" w:hRule="atLeast"/>
        </w:trPr>
        <w:tc>
          <w:tcPr>
            <w:tcW w:w="980" w:type="dxa"/>
            <w:shd w:val="clear" w:color="auto" w:fill="FFFFFF"/>
            <w:noWrap w:val="0"/>
            <w:vAlign w:val="center"/>
          </w:tcPr>
          <w:p>
            <w:pPr>
              <w:widowControl/>
              <w:spacing w:line="480" w:lineRule="auto"/>
              <w:jc w:val="center"/>
              <w:rPr>
                <w:rFonts w:ascii="宋体" w:hAnsi="宋体" w:cs="宋体"/>
                <w:color w:val="333333"/>
                <w:kern w:val="0"/>
                <w:szCs w:val="21"/>
              </w:rPr>
            </w:pPr>
            <w:r>
              <w:rPr>
                <w:rFonts w:hint="eastAsia" w:ascii="宋体" w:hAnsi="宋体" w:cs="宋体"/>
                <w:color w:val="333333"/>
                <w:kern w:val="0"/>
                <w:szCs w:val="21"/>
              </w:rPr>
              <w:t>1</w:t>
            </w:r>
          </w:p>
        </w:tc>
        <w:tc>
          <w:tcPr>
            <w:tcW w:w="940" w:type="dxa"/>
            <w:shd w:val="clear" w:color="auto" w:fill="FFFFFF"/>
            <w:noWrap w:val="0"/>
            <w:vAlign w:val="center"/>
          </w:tcPr>
          <w:p>
            <w:pPr>
              <w:widowControl/>
              <w:spacing w:line="480" w:lineRule="auto"/>
              <w:jc w:val="center"/>
              <w:rPr>
                <w:rFonts w:ascii="宋体" w:hAnsi="宋体" w:cs="宋体"/>
                <w:color w:val="333333"/>
                <w:kern w:val="0"/>
                <w:szCs w:val="21"/>
              </w:rPr>
            </w:pPr>
            <w:r>
              <w:rPr>
                <w:rFonts w:hint="eastAsia" w:ascii="宋体" w:hAnsi="宋体" w:cs="宋体"/>
                <w:color w:val="333333"/>
                <w:kern w:val="0"/>
                <w:szCs w:val="21"/>
              </w:rPr>
              <w:t>报价（</w:t>
            </w:r>
            <w:r>
              <w:rPr>
                <w:rFonts w:hint="eastAsia" w:ascii="宋体" w:hAnsi="宋体" w:cs="宋体"/>
                <w:color w:val="333333"/>
                <w:kern w:val="0"/>
                <w:szCs w:val="21"/>
                <w:lang w:val="en-US" w:eastAsia="zh-CN"/>
              </w:rPr>
              <w:t>3</w:t>
            </w:r>
            <w:r>
              <w:rPr>
                <w:rFonts w:hint="eastAsia" w:ascii="宋体" w:hAnsi="宋体" w:cs="宋体"/>
                <w:color w:val="333333"/>
                <w:kern w:val="0"/>
                <w:szCs w:val="21"/>
              </w:rPr>
              <w:t>0%）</w:t>
            </w:r>
          </w:p>
        </w:tc>
        <w:tc>
          <w:tcPr>
            <w:tcW w:w="1100" w:type="dxa"/>
            <w:shd w:val="clear" w:color="auto" w:fill="FFFFFF"/>
            <w:noWrap w:val="0"/>
            <w:vAlign w:val="top"/>
          </w:tcPr>
          <w:p>
            <w:pPr>
              <w:widowControl/>
              <w:spacing w:line="480" w:lineRule="auto"/>
              <w:rPr>
                <w:rFonts w:ascii="宋体" w:hAnsi="宋体" w:cs="宋体"/>
                <w:color w:val="333333"/>
                <w:kern w:val="0"/>
                <w:szCs w:val="21"/>
              </w:rPr>
            </w:pPr>
          </w:p>
        </w:tc>
        <w:tc>
          <w:tcPr>
            <w:tcW w:w="5181" w:type="dxa"/>
            <w:shd w:val="clear" w:color="auto" w:fill="FFFFFF"/>
            <w:noWrap w:val="0"/>
            <w:vAlign w:val="top"/>
          </w:tcPr>
          <w:p>
            <w:pPr>
              <w:widowControl/>
              <w:numPr>
                <w:ilvl w:val="0"/>
                <w:numId w:val="2"/>
              </w:numPr>
              <w:jc w:val="left"/>
              <w:rPr>
                <w:rFonts w:ascii="宋体" w:hAnsi="宋体" w:cs="宋体"/>
                <w:color w:val="000000"/>
                <w:kern w:val="0"/>
                <w:szCs w:val="21"/>
                <w:lang w:bidi="ar"/>
              </w:rPr>
            </w:pPr>
            <w:r>
              <w:rPr>
                <w:rFonts w:hint="eastAsia" w:ascii="宋体" w:hAnsi="宋体" w:cs="宋体"/>
                <w:color w:val="000000"/>
                <w:kern w:val="0"/>
                <w:szCs w:val="21"/>
                <w:lang w:bidi="ar"/>
              </w:rPr>
              <w:t>满足招标文件要求且投标价格最低的投标报价为评 标基准价，其价格分为满分。</w:t>
            </w:r>
          </w:p>
          <w:p>
            <w:pPr>
              <w:widowControl/>
              <w:jc w:val="left"/>
              <w:rPr>
                <w:rFonts w:ascii="宋体" w:hAnsi="宋体" w:cs="宋体"/>
                <w:color w:val="333333"/>
                <w:kern w:val="0"/>
                <w:szCs w:val="21"/>
              </w:rPr>
            </w:pPr>
            <w:r>
              <w:rPr>
                <w:rFonts w:hint="eastAsia" w:ascii="宋体" w:hAnsi="宋体" w:cs="宋体"/>
                <w:color w:val="000000"/>
                <w:kern w:val="0"/>
                <w:szCs w:val="21"/>
                <w:lang w:bidi="ar"/>
              </w:rPr>
              <w:t>2、其他投标人的价格分统一 按照下列公式计算：投标报价得分=（评标基准价/投标 报价）×价格权值×100。</w:t>
            </w:r>
          </w:p>
        </w:tc>
        <w:tc>
          <w:tcPr>
            <w:tcW w:w="640" w:type="dxa"/>
            <w:shd w:val="clear" w:color="auto" w:fill="FFFFFF"/>
            <w:noWrap w:val="0"/>
            <w:vAlign w:val="center"/>
          </w:tcPr>
          <w:p>
            <w:pPr>
              <w:widowControl/>
              <w:spacing w:line="480" w:lineRule="auto"/>
              <w:jc w:val="center"/>
              <w:rPr>
                <w:rFonts w:ascii="宋体" w:hAnsi="宋体" w:cs="宋体"/>
                <w:color w:val="333333"/>
                <w:kern w:val="0"/>
                <w:szCs w:val="21"/>
              </w:rPr>
            </w:pPr>
            <w:r>
              <w:rPr>
                <w:rFonts w:hint="eastAsia" w:ascii="宋体" w:hAnsi="宋体" w:cs="宋体"/>
                <w:color w:val="333333"/>
                <w:kern w:val="0"/>
                <w:szCs w:val="21"/>
                <w:lang w:val="en-US" w:eastAsia="zh-CN"/>
              </w:rPr>
              <w:t>3</w:t>
            </w:r>
            <w:r>
              <w:rPr>
                <w:rFonts w:hint="eastAsia" w:ascii="宋体" w:hAnsi="宋体" w:cs="宋体"/>
                <w:color w:val="333333"/>
                <w:kern w:val="0"/>
                <w:szCs w:val="21"/>
              </w:rPr>
              <w:t>0</w:t>
            </w:r>
          </w:p>
        </w:tc>
        <w:tc>
          <w:tcPr>
            <w:tcW w:w="1079" w:type="dxa"/>
            <w:shd w:val="clear" w:color="auto" w:fill="FFFFFF"/>
            <w:noWrap w:val="0"/>
            <w:vAlign w:val="center"/>
          </w:tcPr>
          <w:p>
            <w:pPr>
              <w:widowControl/>
              <w:spacing w:line="480" w:lineRule="auto"/>
              <w:jc w:val="center"/>
              <w:rPr>
                <w:rFonts w:hint="eastAsia" w:ascii="宋体" w:hAnsi="宋体" w:cs="宋体"/>
                <w:color w:val="333333"/>
                <w:kern w:val="0"/>
                <w:szCs w:val="21"/>
              </w:rPr>
            </w:pPr>
            <w:r>
              <w:rPr>
                <w:rFonts w:hint="eastAsia" w:cs="仿宋"/>
                <w:szCs w:val="21"/>
              </w:rPr>
              <w:t>四舍五入，保留两位小数</w:t>
            </w:r>
          </w:p>
          <w:p>
            <w:pPr>
              <w:widowControl/>
              <w:spacing w:line="480" w:lineRule="auto"/>
              <w:jc w:val="center"/>
              <w:rPr>
                <w:rFonts w:ascii="宋体" w:hAnsi="宋体" w:cs="宋体"/>
                <w:color w:val="333333"/>
                <w:kern w:val="0"/>
                <w:szCs w:val="21"/>
              </w:rPr>
            </w:pPr>
            <w:r>
              <w:rPr>
                <w:rFonts w:hint="eastAsia" w:ascii="宋体" w:hAnsi="宋体" w:cs="宋体"/>
                <w:color w:val="333333"/>
                <w:kern w:val="0"/>
                <w:szCs w:val="21"/>
              </w:rPr>
              <w:t>共同评审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80" w:type="dxa"/>
            <w:shd w:val="clear" w:color="auto" w:fill="FFFFFF"/>
            <w:noWrap w:val="0"/>
            <w:vAlign w:val="center"/>
          </w:tcPr>
          <w:p>
            <w:pPr>
              <w:widowControl/>
              <w:spacing w:line="480" w:lineRule="auto"/>
              <w:jc w:val="center"/>
              <w:rPr>
                <w:rFonts w:ascii="宋体" w:hAnsi="宋体" w:cs="宋体"/>
                <w:color w:val="333333"/>
                <w:kern w:val="0"/>
                <w:szCs w:val="21"/>
              </w:rPr>
            </w:pPr>
            <w:r>
              <w:rPr>
                <w:rFonts w:hint="eastAsia" w:ascii="宋体" w:hAnsi="宋体" w:cs="宋体"/>
                <w:color w:val="333333"/>
                <w:kern w:val="0"/>
                <w:szCs w:val="21"/>
              </w:rPr>
              <w:t>2</w:t>
            </w:r>
          </w:p>
        </w:tc>
        <w:tc>
          <w:tcPr>
            <w:tcW w:w="940" w:type="dxa"/>
            <w:shd w:val="clear" w:color="auto" w:fill="FFFFFF"/>
            <w:noWrap w:val="0"/>
            <w:vAlign w:val="center"/>
          </w:tcPr>
          <w:p>
            <w:pPr>
              <w:widowControl/>
              <w:spacing w:line="480" w:lineRule="auto"/>
              <w:jc w:val="center"/>
              <w:rPr>
                <w:rFonts w:ascii="宋体" w:hAnsi="宋体" w:cs="宋体"/>
                <w:color w:val="333333"/>
                <w:kern w:val="0"/>
                <w:szCs w:val="21"/>
              </w:rPr>
            </w:pPr>
            <w:r>
              <w:rPr>
                <w:rFonts w:hint="eastAsia" w:ascii="宋体" w:hAnsi="宋体" w:cs="宋体"/>
                <w:color w:val="333333"/>
                <w:kern w:val="0"/>
                <w:szCs w:val="21"/>
              </w:rPr>
              <w:t>技术部分（</w:t>
            </w:r>
            <w:r>
              <w:rPr>
                <w:rFonts w:hint="eastAsia" w:ascii="宋体" w:hAnsi="宋体" w:cs="宋体"/>
                <w:color w:val="333333"/>
                <w:kern w:val="0"/>
                <w:szCs w:val="21"/>
                <w:lang w:val="en-US" w:eastAsia="zh-CN"/>
              </w:rPr>
              <w:t>5</w:t>
            </w:r>
            <w:r>
              <w:rPr>
                <w:rFonts w:hint="eastAsia" w:ascii="宋体" w:hAnsi="宋体" w:cs="宋体"/>
                <w:color w:val="333333"/>
                <w:kern w:val="0"/>
                <w:szCs w:val="21"/>
              </w:rPr>
              <w:t>0%）</w:t>
            </w:r>
          </w:p>
        </w:tc>
        <w:tc>
          <w:tcPr>
            <w:tcW w:w="1100" w:type="dxa"/>
            <w:shd w:val="clear" w:color="auto" w:fill="FFFFFF"/>
            <w:noWrap w:val="0"/>
            <w:vAlign w:val="center"/>
          </w:tcPr>
          <w:p>
            <w:pPr>
              <w:widowControl/>
              <w:spacing w:line="480" w:lineRule="auto"/>
              <w:jc w:val="center"/>
              <w:rPr>
                <w:rFonts w:ascii="宋体" w:hAnsi="宋体" w:cs="宋体"/>
                <w:szCs w:val="21"/>
              </w:rPr>
            </w:pPr>
            <w:r>
              <w:rPr>
                <w:rFonts w:hint="eastAsia" w:ascii="宋体" w:hAnsi="宋体" w:cs="宋体"/>
                <w:szCs w:val="21"/>
              </w:rPr>
              <w:t>参数响应</w:t>
            </w:r>
          </w:p>
        </w:tc>
        <w:tc>
          <w:tcPr>
            <w:tcW w:w="5181" w:type="dxa"/>
            <w:shd w:val="clear" w:color="auto" w:fill="FFFFFF"/>
            <w:noWrap w:val="0"/>
            <w:vAlign w:val="top"/>
          </w:tcPr>
          <w:p>
            <w:pPr>
              <w:tabs>
                <w:tab w:val="left" w:pos="1890"/>
              </w:tabs>
              <w:spacing w:line="360" w:lineRule="auto"/>
              <w:rPr>
                <w:rFonts w:hint="eastAsia" w:ascii="宋体" w:hAnsi="宋体" w:cs="仿宋"/>
                <w:kern w:val="0"/>
                <w:szCs w:val="21"/>
              </w:rPr>
            </w:pPr>
            <w:r>
              <w:rPr>
                <w:rFonts w:hint="eastAsia" w:cs="仿宋"/>
                <w:szCs w:val="21"/>
              </w:rPr>
              <w:t>本包件▲项参数条款共</w:t>
            </w:r>
            <w:r>
              <w:rPr>
                <w:rFonts w:hint="eastAsia" w:cs="仿宋"/>
                <w:szCs w:val="21"/>
                <w:lang w:val="en-US" w:eastAsia="zh-CN"/>
              </w:rPr>
              <w:t>9</w:t>
            </w:r>
            <w:r>
              <w:rPr>
                <w:rFonts w:hint="eastAsia" w:cs="仿宋"/>
                <w:szCs w:val="21"/>
              </w:rPr>
              <w:t>项；一般参数共</w:t>
            </w:r>
            <w:r>
              <w:rPr>
                <w:rFonts w:hint="eastAsia" w:cs="仿宋"/>
                <w:szCs w:val="21"/>
                <w:lang w:val="en-US" w:eastAsia="zh-CN"/>
              </w:rPr>
              <w:t>1</w:t>
            </w:r>
            <w:r>
              <w:rPr>
                <w:rFonts w:hint="eastAsia" w:cs="仿宋"/>
                <w:szCs w:val="21"/>
              </w:rPr>
              <w:t>3项。</w:t>
            </w:r>
          </w:p>
          <w:p>
            <w:pPr>
              <w:tabs>
                <w:tab w:val="left" w:pos="1890"/>
              </w:tabs>
              <w:spacing w:line="360" w:lineRule="auto"/>
              <w:rPr>
                <w:rFonts w:hint="eastAsia" w:ascii="宋体" w:hAnsi="宋体" w:cs="仿宋"/>
                <w:kern w:val="0"/>
                <w:szCs w:val="21"/>
              </w:rPr>
            </w:pPr>
            <w:r>
              <w:rPr>
                <w:rFonts w:hint="eastAsia" w:ascii="宋体" w:hAnsi="宋体" w:cs="仿宋"/>
                <w:kern w:val="0"/>
                <w:szCs w:val="21"/>
              </w:rPr>
              <w:t>1、重要参数评审：▲项参数条款响应得分=（投标人满足▲项技术参数条款的数量÷▲项技术参数条款的总数量）×</w:t>
            </w:r>
            <w:r>
              <w:rPr>
                <w:rFonts w:hint="eastAsia" w:ascii="宋体" w:hAnsi="宋体" w:cs="仿宋"/>
                <w:kern w:val="0"/>
                <w:szCs w:val="21"/>
                <w:lang w:val="en-US" w:eastAsia="zh-CN"/>
              </w:rPr>
              <w:t>4</w:t>
            </w:r>
            <w:r>
              <w:rPr>
                <w:rFonts w:hint="eastAsia" w:ascii="宋体" w:hAnsi="宋体" w:cs="仿宋"/>
                <w:kern w:val="0"/>
                <w:szCs w:val="21"/>
              </w:rPr>
              <w:t>0分；</w:t>
            </w:r>
          </w:p>
          <w:p>
            <w:pPr>
              <w:tabs>
                <w:tab w:val="left" w:pos="1890"/>
              </w:tabs>
              <w:spacing w:line="360" w:lineRule="auto"/>
              <w:rPr>
                <w:rFonts w:hint="eastAsia" w:ascii="宋体" w:hAnsi="宋体" w:cs="仿宋"/>
                <w:kern w:val="0"/>
                <w:szCs w:val="21"/>
              </w:rPr>
            </w:pPr>
            <w:r>
              <w:rPr>
                <w:rFonts w:hint="eastAsia" w:ascii="宋体" w:hAnsi="宋体" w:cs="仿宋"/>
                <w:kern w:val="0"/>
                <w:szCs w:val="21"/>
              </w:rPr>
              <w:t>2、一般参数评审：其余参数条款响应得分=（投标人满足的其余技术参数条款的数量÷其余技术参数条款的总数量）×10分。</w:t>
            </w:r>
          </w:p>
          <w:p>
            <w:pPr>
              <w:tabs>
                <w:tab w:val="left" w:pos="1890"/>
              </w:tabs>
              <w:spacing w:line="360" w:lineRule="auto"/>
              <w:rPr>
                <w:rFonts w:hint="eastAsia" w:ascii="宋体" w:hAnsi="宋体" w:cs="仿宋"/>
                <w:kern w:val="0"/>
                <w:szCs w:val="21"/>
              </w:rPr>
            </w:pPr>
            <w:r>
              <w:rPr>
                <w:rFonts w:hint="eastAsia" w:ascii="宋体" w:hAnsi="宋体" w:cs="仿宋"/>
                <w:kern w:val="0"/>
                <w:szCs w:val="21"/>
              </w:rPr>
              <w:t>3、技术要求总得分=重要参数评审得分+一般参数评审</w:t>
            </w:r>
          </w:p>
          <w:p>
            <w:pPr>
              <w:tabs>
                <w:tab w:val="left" w:pos="1890"/>
              </w:tabs>
              <w:spacing w:line="360" w:lineRule="auto"/>
              <w:rPr>
                <w:rFonts w:hint="eastAsia" w:ascii="宋体" w:hAnsi="宋体" w:cs="仿宋"/>
                <w:kern w:val="0"/>
                <w:szCs w:val="21"/>
              </w:rPr>
            </w:pPr>
            <w:r>
              <w:rPr>
                <w:rFonts w:hint="eastAsia" w:ascii="宋体" w:hAnsi="宋体" w:cs="仿宋"/>
                <w:kern w:val="0"/>
                <w:szCs w:val="21"/>
              </w:rPr>
              <w:t xml:space="preserve">带“▲”技术参数需提供证明文件以验证参数真实性（公开发布的产品彩页资料或厂家出具的质量白皮书（授权完整的代理商出具的证明可以视为厂家出具）或法定检测机构出具的质检报告），未提供的或证明文件与投标响应不一致的可作为负偏离评审。  </w:t>
            </w:r>
          </w:p>
          <w:p>
            <w:pPr>
              <w:widowControl/>
              <w:rPr>
                <w:rFonts w:ascii="宋体" w:hAnsi="宋体"/>
                <w:szCs w:val="21"/>
              </w:rPr>
            </w:pPr>
            <w:r>
              <w:rPr>
                <w:rFonts w:hint="eastAsia" w:ascii="宋体" w:hAnsi="宋体" w:cs="仿宋"/>
                <w:kern w:val="0"/>
                <w:szCs w:val="21"/>
              </w:rPr>
              <w:t>注：若技术参数有明确证明材料要求的，从其要求。</w:t>
            </w:r>
          </w:p>
        </w:tc>
        <w:tc>
          <w:tcPr>
            <w:tcW w:w="640" w:type="dxa"/>
            <w:shd w:val="clear" w:color="auto" w:fill="FFFFFF"/>
            <w:noWrap w:val="0"/>
            <w:vAlign w:val="center"/>
          </w:tcPr>
          <w:p>
            <w:pPr>
              <w:widowControl/>
              <w:spacing w:line="480" w:lineRule="auto"/>
              <w:jc w:val="center"/>
              <w:rPr>
                <w:rFonts w:ascii="宋体" w:hAnsi="宋体" w:cs="宋体"/>
                <w:color w:val="333333"/>
                <w:kern w:val="0"/>
                <w:szCs w:val="21"/>
              </w:rPr>
            </w:pPr>
            <w:r>
              <w:rPr>
                <w:rFonts w:hint="eastAsia" w:ascii="宋体" w:hAnsi="宋体" w:cs="宋体"/>
                <w:color w:val="333333"/>
                <w:kern w:val="0"/>
                <w:szCs w:val="21"/>
                <w:lang w:val="en-US" w:eastAsia="zh-CN"/>
              </w:rPr>
              <w:t>5</w:t>
            </w:r>
            <w:r>
              <w:rPr>
                <w:rFonts w:hint="eastAsia" w:ascii="宋体" w:hAnsi="宋体" w:cs="宋体"/>
                <w:color w:val="333333"/>
                <w:kern w:val="0"/>
                <w:szCs w:val="21"/>
              </w:rPr>
              <w:t>0</w:t>
            </w:r>
          </w:p>
        </w:tc>
        <w:tc>
          <w:tcPr>
            <w:tcW w:w="1079" w:type="dxa"/>
            <w:shd w:val="clear" w:color="auto" w:fill="FFFFFF"/>
            <w:noWrap w:val="0"/>
            <w:vAlign w:val="top"/>
          </w:tcPr>
          <w:p>
            <w:pPr>
              <w:widowControl/>
              <w:spacing w:line="480" w:lineRule="auto"/>
              <w:rPr>
                <w:rFonts w:hint="eastAsia" w:ascii="宋体" w:hAnsi="宋体" w:cs="宋体"/>
                <w:color w:val="333333"/>
                <w:kern w:val="0"/>
                <w:szCs w:val="21"/>
              </w:rPr>
            </w:pPr>
            <w:r>
              <w:rPr>
                <w:rFonts w:hint="eastAsia" w:ascii="宋体" w:hAnsi="宋体" w:cs="宋体"/>
                <w:color w:val="333333"/>
                <w:kern w:val="0"/>
                <w:szCs w:val="21"/>
              </w:rPr>
              <w:t>四舍五入，保留两位小数</w:t>
            </w:r>
          </w:p>
          <w:p>
            <w:pPr>
              <w:widowControl/>
              <w:spacing w:line="480" w:lineRule="auto"/>
              <w:rPr>
                <w:rFonts w:hint="eastAsia" w:ascii="宋体" w:hAnsi="宋体" w:cs="宋体"/>
                <w:color w:val="333333"/>
                <w:kern w:val="0"/>
                <w:szCs w:val="21"/>
              </w:rPr>
            </w:pPr>
          </w:p>
          <w:p>
            <w:pPr>
              <w:widowControl/>
              <w:spacing w:line="480" w:lineRule="auto"/>
              <w:rPr>
                <w:rFonts w:ascii="宋体" w:hAnsi="宋体" w:cs="宋体"/>
                <w:color w:val="333333"/>
                <w:kern w:val="0"/>
                <w:szCs w:val="21"/>
              </w:rPr>
            </w:pPr>
            <w:r>
              <w:rPr>
                <w:rFonts w:hint="eastAsia" w:ascii="宋体" w:hAnsi="宋体" w:cs="宋体"/>
                <w:color w:val="333333"/>
                <w:kern w:val="0"/>
                <w:szCs w:val="21"/>
              </w:rPr>
              <w:t>共同评审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80" w:type="dxa"/>
            <w:vMerge w:val="restart"/>
            <w:shd w:val="clear" w:color="auto" w:fill="FFFFFF"/>
            <w:noWrap w:val="0"/>
            <w:vAlign w:val="top"/>
          </w:tcPr>
          <w:p>
            <w:pPr>
              <w:widowControl/>
              <w:spacing w:line="480" w:lineRule="auto"/>
              <w:rPr>
                <w:rFonts w:ascii="宋体" w:hAnsi="宋体" w:cs="宋体"/>
                <w:color w:val="333333"/>
                <w:kern w:val="0"/>
                <w:szCs w:val="21"/>
              </w:rPr>
            </w:pPr>
            <w:r>
              <w:rPr>
                <w:rFonts w:hint="eastAsia" w:ascii="宋体" w:hAnsi="宋体" w:cs="宋体"/>
                <w:color w:val="333333"/>
                <w:kern w:val="0"/>
                <w:szCs w:val="21"/>
              </w:rPr>
              <w:t xml:space="preserve"> 3</w:t>
            </w:r>
          </w:p>
        </w:tc>
        <w:tc>
          <w:tcPr>
            <w:tcW w:w="940" w:type="dxa"/>
            <w:vMerge w:val="restart"/>
            <w:shd w:val="clear" w:color="auto" w:fill="FFFFFF"/>
            <w:noWrap w:val="0"/>
            <w:vAlign w:val="top"/>
          </w:tcPr>
          <w:p>
            <w:pPr>
              <w:widowControl/>
              <w:spacing w:line="480" w:lineRule="auto"/>
              <w:rPr>
                <w:rFonts w:ascii="宋体" w:hAnsi="宋体" w:cs="宋体"/>
                <w:color w:val="333333"/>
                <w:kern w:val="0"/>
                <w:szCs w:val="21"/>
              </w:rPr>
            </w:pPr>
            <w:r>
              <w:rPr>
                <w:rFonts w:hint="eastAsia" w:ascii="宋体" w:hAnsi="宋体" w:cs="宋体"/>
                <w:color w:val="333333"/>
                <w:kern w:val="0"/>
                <w:szCs w:val="21"/>
              </w:rPr>
              <w:t>商务部分</w:t>
            </w:r>
            <w:r>
              <w:rPr>
                <w:rFonts w:hint="eastAsia" w:ascii="宋体" w:hAnsi="宋体" w:cs="宋体"/>
                <w:color w:val="333333"/>
                <w:kern w:val="0"/>
                <w:szCs w:val="21"/>
                <w:lang w:val="en-US" w:eastAsia="zh-CN"/>
              </w:rPr>
              <w:t>20</w:t>
            </w:r>
            <w:r>
              <w:rPr>
                <w:rFonts w:hint="eastAsia" w:ascii="宋体" w:hAnsi="宋体" w:cs="宋体"/>
                <w:color w:val="333333"/>
                <w:kern w:val="0"/>
                <w:szCs w:val="21"/>
              </w:rPr>
              <w:t>%）</w:t>
            </w:r>
          </w:p>
        </w:tc>
        <w:tc>
          <w:tcPr>
            <w:tcW w:w="1100" w:type="dxa"/>
            <w:shd w:val="clear" w:color="auto" w:fill="FFFFFF"/>
            <w:noWrap w:val="0"/>
            <w:vAlign w:val="center"/>
          </w:tcPr>
          <w:p>
            <w:pPr>
              <w:widowControl/>
              <w:spacing w:line="480" w:lineRule="auto"/>
              <w:jc w:val="center"/>
              <w:rPr>
                <w:rFonts w:ascii="宋体" w:hAnsi="宋体" w:cs="宋体"/>
                <w:szCs w:val="21"/>
              </w:rPr>
            </w:pPr>
            <w:r>
              <w:rPr>
                <w:rFonts w:hint="eastAsia" w:ascii="宋体" w:hAnsi="宋体" w:cs="宋体"/>
                <w:szCs w:val="21"/>
              </w:rPr>
              <w:t>企业资质</w:t>
            </w:r>
          </w:p>
        </w:tc>
        <w:tc>
          <w:tcPr>
            <w:tcW w:w="5181" w:type="dxa"/>
            <w:shd w:val="clear" w:color="auto" w:fill="FFFFFF"/>
            <w:noWrap w:val="0"/>
            <w:vAlign w:val="top"/>
          </w:tcPr>
          <w:p>
            <w:pPr>
              <w:pStyle w:val="55"/>
              <w:adjustRightInd w:val="0"/>
              <w:spacing w:line="276" w:lineRule="auto"/>
              <w:ind w:left="63" w:leftChars="30" w:firstLine="0" w:firstLineChars="0"/>
              <w:jc w:val="left"/>
              <w:rPr>
                <w:rFonts w:hint="eastAsia" w:ascii="宋体" w:hAnsi="宋体" w:cs="宋体"/>
                <w:color w:val="000000"/>
                <w:kern w:val="0"/>
                <w:szCs w:val="21"/>
                <w:lang w:bidi="ar"/>
              </w:rPr>
            </w:pPr>
            <w:r>
              <w:rPr>
                <w:rFonts w:hint="eastAsia" w:ascii="宋体" w:hAnsi="宋体" w:cs="宋体"/>
                <w:color w:val="000000"/>
                <w:kern w:val="0"/>
                <w:szCs w:val="21"/>
                <w:lang w:bidi="ar"/>
              </w:rPr>
              <w:t>1、投标人或生产厂商同时具备质量管理体系认证证书、环境管理体系认证证书的得2分；</w:t>
            </w:r>
          </w:p>
          <w:p>
            <w:pPr>
              <w:pStyle w:val="55"/>
              <w:adjustRightInd w:val="0"/>
              <w:spacing w:line="276" w:lineRule="auto"/>
              <w:ind w:firstLine="0" w:firstLineChars="0"/>
              <w:jc w:val="left"/>
              <w:rPr>
                <w:szCs w:val="21"/>
              </w:rPr>
            </w:pPr>
            <w:r>
              <w:rPr>
                <w:rFonts w:hint="eastAsia" w:ascii="宋体" w:hAnsi="宋体" w:cs="宋体"/>
                <w:color w:val="000000"/>
                <w:kern w:val="0"/>
                <w:szCs w:val="21"/>
                <w:lang w:bidi="ar"/>
              </w:rPr>
              <w:t>2、投标人或生产厂商同时具备信息技术服务管理体系认证证书、信息安全管理体系认证证书的得2分。</w:t>
            </w:r>
          </w:p>
        </w:tc>
        <w:tc>
          <w:tcPr>
            <w:tcW w:w="640" w:type="dxa"/>
            <w:shd w:val="clear" w:color="auto" w:fill="FFFFFF"/>
            <w:noWrap w:val="0"/>
            <w:vAlign w:val="center"/>
          </w:tcPr>
          <w:p>
            <w:pPr>
              <w:widowControl/>
              <w:spacing w:line="480" w:lineRule="auto"/>
              <w:jc w:val="center"/>
              <w:rPr>
                <w:rFonts w:ascii="宋体" w:hAnsi="宋体" w:cs="宋体"/>
                <w:color w:val="333333"/>
                <w:kern w:val="0"/>
                <w:szCs w:val="21"/>
              </w:rPr>
            </w:pPr>
            <w:r>
              <w:rPr>
                <w:rFonts w:ascii="宋体" w:hAnsi="宋体" w:cs="宋体"/>
                <w:color w:val="333333"/>
                <w:kern w:val="0"/>
                <w:szCs w:val="21"/>
              </w:rPr>
              <w:t>4</w:t>
            </w:r>
          </w:p>
        </w:tc>
        <w:tc>
          <w:tcPr>
            <w:tcW w:w="1079" w:type="dxa"/>
            <w:shd w:val="clear" w:color="auto" w:fill="FFFFFF"/>
            <w:noWrap w:val="0"/>
            <w:vAlign w:val="top"/>
          </w:tcPr>
          <w:p>
            <w:pPr>
              <w:widowControl/>
              <w:spacing w:line="480" w:lineRule="auto"/>
              <w:rPr>
                <w:rFonts w:ascii="宋体" w:hAnsi="宋体" w:cs="宋体"/>
                <w:color w:val="333333"/>
                <w:kern w:val="0"/>
                <w:szCs w:val="21"/>
              </w:rPr>
            </w:pPr>
            <w:r>
              <w:rPr>
                <w:rFonts w:hint="eastAsia" w:ascii="宋体" w:hAnsi="宋体" w:cs="宋体"/>
                <w:color w:val="333333"/>
                <w:kern w:val="0"/>
                <w:szCs w:val="21"/>
              </w:rPr>
              <w:t>共同评审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80" w:type="dxa"/>
            <w:vMerge w:val="continue"/>
            <w:shd w:val="clear" w:color="auto" w:fill="FFFFFF"/>
            <w:noWrap w:val="0"/>
            <w:vAlign w:val="top"/>
          </w:tcPr>
          <w:p>
            <w:pPr>
              <w:widowControl/>
              <w:spacing w:line="480" w:lineRule="auto"/>
              <w:rPr>
                <w:rFonts w:ascii="宋体" w:hAnsi="宋体" w:cs="宋体"/>
                <w:color w:val="333333"/>
                <w:kern w:val="0"/>
                <w:szCs w:val="21"/>
              </w:rPr>
            </w:pPr>
          </w:p>
        </w:tc>
        <w:tc>
          <w:tcPr>
            <w:tcW w:w="940" w:type="dxa"/>
            <w:vMerge w:val="continue"/>
            <w:shd w:val="clear" w:color="auto" w:fill="FFFFFF"/>
            <w:noWrap w:val="0"/>
            <w:vAlign w:val="top"/>
          </w:tcPr>
          <w:p>
            <w:pPr>
              <w:widowControl/>
              <w:spacing w:line="480" w:lineRule="auto"/>
              <w:rPr>
                <w:rFonts w:ascii="宋体" w:hAnsi="宋体" w:cs="宋体"/>
                <w:color w:val="333333"/>
                <w:kern w:val="0"/>
                <w:szCs w:val="21"/>
              </w:rPr>
            </w:pPr>
          </w:p>
        </w:tc>
        <w:tc>
          <w:tcPr>
            <w:tcW w:w="1100" w:type="dxa"/>
            <w:shd w:val="clear" w:color="auto" w:fill="FFFFFF"/>
            <w:noWrap w:val="0"/>
            <w:vAlign w:val="center"/>
          </w:tcPr>
          <w:p>
            <w:pPr>
              <w:widowControl/>
              <w:spacing w:line="480" w:lineRule="auto"/>
              <w:jc w:val="center"/>
              <w:rPr>
                <w:rFonts w:ascii="宋体" w:hAnsi="宋体" w:cs="宋体"/>
                <w:szCs w:val="21"/>
              </w:rPr>
            </w:pPr>
            <w:r>
              <w:rPr>
                <w:rFonts w:hint="eastAsia" w:ascii="宋体" w:hAnsi="宋体" w:cs="宋体"/>
                <w:szCs w:val="21"/>
              </w:rPr>
              <w:t>业绩案例</w:t>
            </w:r>
          </w:p>
        </w:tc>
        <w:tc>
          <w:tcPr>
            <w:tcW w:w="5181" w:type="dxa"/>
            <w:shd w:val="clear" w:color="auto" w:fill="FFFFFF"/>
            <w:noWrap w:val="0"/>
            <w:vAlign w:val="top"/>
          </w:tcPr>
          <w:p>
            <w:pPr>
              <w:widowControl/>
              <w:jc w:val="left"/>
              <w:rPr>
                <w:rFonts w:ascii="宋体" w:hAnsi="宋体"/>
                <w:szCs w:val="21"/>
              </w:rPr>
            </w:pPr>
            <w:r>
              <w:rPr>
                <w:rFonts w:hint="eastAsia" w:ascii="宋体" w:hAnsi="宋体" w:cs="宋体"/>
                <w:color w:val="000000"/>
                <w:kern w:val="0"/>
                <w:szCs w:val="21"/>
                <w:lang w:bidi="ar"/>
              </w:rPr>
              <w:t>供应商提供自 2</w:t>
            </w:r>
            <w:r>
              <w:rPr>
                <w:rFonts w:hint="eastAsia" w:ascii="宋体" w:hAnsi="宋体" w:cs="宋体"/>
                <w:color w:val="000000"/>
                <w:kern w:val="0"/>
                <w:szCs w:val="21"/>
                <w:lang w:val="en-US" w:eastAsia="zh-CN" w:bidi="ar"/>
              </w:rPr>
              <w:t>022</w:t>
            </w:r>
            <w:r>
              <w:rPr>
                <w:rFonts w:hint="eastAsia" w:ascii="宋体" w:hAnsi="宋体" w:cs="宋体"/>
                <w:color w:val="000000"/>
                <w:kern w:val="0"/>
                <w:szCs w:val="21"/>
                <w:lang w:bidi="ar"/>
              </w:rPr>
              <w:t>年 1 月 1 日（含）至今与本项目产品类似的业绩合同案例，提供一个得0.5分，最多得</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分。（提供合同、成交通知书原件的复印件）</w:t>
            </w:r>
          </w:p>
        </w:tc>
        <w:tc>
          <w:tcPr>
            <w:tcW w:w="640" w:type="dxa"/>
            <w:shd w:val="clear" w:color="auto" w:fill="FFFFFF"/>
            <w:noWrap w:val="0"/>
            <w:vAlign w:val="center"/>
          </w:tcPr>
          <w:p>
            <w:pPr>
              <w:widowControl/>
              <w:spacing w:line="480" w:lineRule="auto"/>
              <w:jc w:val="center"/>
              <w:rPr>
                <w:rFonts w:hint="eastAsia" w:ascii="宋体" w:hAnsi="宋体" w:cs="宋体" w:eastAsiaTheme="minorEastAsia"/>
                <w:color w:val="333333"/>
                <w:kern w:val="0"/>
                <w:szCs w:val="21"/>
                <w:lang w:eastAsia="zh-CN"/>
              </w:rPr>
            </w:pPr>
            <w:r>
              <w:rPr>
                <w:rFonts w:hint="eastAsia" w:ascii="宋体" w:hAnsi="宋体" w:cs="宋体"/>
                <w:color w:val="333333"/>
                <w:kern w:val="0"/>
                <w:szCs w:val="21"/>
                <w:lang w:val="en-US" w:eastAsia="zh-CN"/>
              </w:rPr>
              <w:t>5</w:t>
            </w:r>
          </w:p>
        </w:tc>
        <w:tc>
          <w:tcPr>
            <w:tcW w:w="1079" w:type="dxa"/>
            <w:shd w:val="clear" w:color="auto" w:fill="FFFFFF"/>
            <w:noWrap w:val="0"/>
            <w:vAlign w:val="top"/>
          </w:tcPr>
          <w:p>
            <w:pPr>
              <w:widowControl/>
              <w:spacing w:line="480" w:lineRule="auto"/>
              <w:rPr>
                <w:rFonts w:ascii="宋体" w:hAnsi="宋体" w:cs="宋体"/>
                <w:color w:val="333333"/>
                <w:kern w:val="0"/>
                <w:szCs w:val="21"/>
              </w:rPr>
            </w:pPr>
            <w:r>
              <w:rPr>
                <w:rFonts w:hint="eastAsia" w:ascii="宋体" w:hAnsi="宋体" w:cs="宋体"/>
                <w:color w:val="333333"/>
                <w:kern w:val="0"/>
                <w:szCs w:val="21"/>
              </w:rPr>
              <w:t>共同评审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80" w:type="dxa"/>
            <w:vMerge w:val="continue"/>
            <w:shd w:val="clear" w:color="auto" w:fill="FFFFFF"/>
            <w:noWrap w:val="0"/>
            <w:vAlign w:val="top"/>
          </w:tcPr>
          <w:p>
            <w:pPr>
              <w:widowControl/>
              <w:spacing w:line="480" w:lineRule="auto"/>
              <w:rPr>
                <w:rFonts w:ascii="宋体" w:hAnsi="宋体" w:cs="宋体"/>
                <w:color w:val="333333"/>
                <w:kern w:val="0"/>
                <w:szCs w:val="21"/>
              </w:rPr>
            </w:pPr>
          </w:p>
        </w:tc>
        <w:tc>
          <w:tcPr>
            <w:tcW w:w="940" w:type="dxa"/>
            <w:vMerge w:val="continue"/>
            <w:shd w:val="clear" w:color="auto" w:fill="FFFFFF"/>
            <w:noWrap w:val="0"/>
            <w:vAlign w:val="top"/>
          </w:tcPr>
          <w:p>
            <w:pPr>
              <w:widowControl/>
              <w:spacing w:line="480" w:lineRule="auto"/>
              <w:rPr>
                <w:rFonts w:ascii="宋体" w:hAnsi="宋体" w:cs="宋体"/>
                <w:color w:val="333333"/>
                <w:kern w:val="0"/>
                <w:szCs w:val="21"/>
              </w:rPr>
            </w:pPr>
          </w:p>
        </w:tc>
        <w:tc>
          <w:tcPr>
            <w:tcW w:w="1100" w:type="dxa"/>
            <w:shd w:val="clear" w:color="auto" w:fill="FFFFFF"/>
            <w:noWrap w:val="0"/>
            <w:vAlign w:val="center"/>
          </w:tcPr>
          <w:p>
            <w:pPr>
              <w:widowControl/>
              <w:spacing w:line="480" w:lineRule="auto"/>
              <w:jc w:val="center"/>
              <w:rPr>
                <w:rFonts w:hint="eastAsia" w:ascii="宋体" w:hAnsi="宋体" w:cs="宋体"/>
                <w:szCs w:val="21"/>
              </w:rPr>
            </w:pPr>
            <w:r>
              <w:rPr>
                <w:rFonts w:hint="eastAsia" w:cs="仿宋"/>
                <w:szCs w:val="21"/>
                <w:lang w:val="zh-TW" w:eastAsia="zh-TW"/>
              </w:rPr>
              <w:t>项目实施</w:t>
            </w:r>
            <w:r>
              <w:rPr>
                <w:rFonts w:cs="仿宋"/>
                <w:szCs w:val="21"/>
                <w:lang w:val="zh-TW" w:eastAsia="zh-TW"/>
              </w:rPr>
              <w:t>方案</w:t>
            </w:r>
          </w:p>
        </w:tc>
        <w:tc>
          <w:tcPr>
            <w:tcW w:w="5181" w:type="dxa"/>
            <w:shd w:val="clear" w:color="auto" w:fill="FFFFFF"/>
            <w:noWrap w:val="0"/>
            <w:vAlign w:val="top"/>
          </w:tcPr>
          <w:p>
            <w:pPr>
              <w:widowControl/>
              <w:jc w:val="left"/>
              <w:rPr>
                <w:rFonts w:hint="eastAsia" w:ascii="宋体" w:hAnsi="宋体" w:cs="宋体"/>
                <w:color w:val="000000"/>
                <w:kern w:val="0"/>
                <w:szCs w:val="21"/>
                <w:lang w:bidi="ar"/>
              </w:rPr>
            </w:pPr>
            <w:r>
              <w:rPr>
                <w:rFonts w:hint="eastAsia" w:ascii="宋体" w:hAnsi="宋体" w:cs="宋体"/>
                <w:szCs w:val="21"/>
              </w:rPr>
              <w:t>根据供应商提供的项目实施方案进行综合评审，方案内容包括但不限于：</w:t>
            </w:r>
            <w:r>
              <w:rPr>
                <w:rFonts w:hint="eastAsia" w:ascii="宋体" w:hAnsi="宋体" w:cs="仿宋"/>
                <w:kern w:val="0"/>
                <w:szCs w:val="21"/>
              </w:rPr>
              <w:t>①项目总体分析；②进度计划及工期保障措施；③设备安装方案；④质量保障措施；⑤应急预案。方案内容完善的得5分，方案内容中每缺少1项内容扣1分；方案内容中每有1处存在缺陷（缺陷是指方案内容与项目实际情况不相符或套用其他项目方案或前后内容相互矛盾或存在与本项目无关的内容）扣1分；扣完为止。</w:t>
            </w:r>
          </w:p>
        </w:tc>
        <w:tc>
          <w:tcPr>
            <w:tcW w:w="640" w:type="dxa"/>
            <w:shd w:val="clear" w:color="auto" w:fill="FFFFFF"/>
            <w:noWrap w:val="0"/>
            <w:vAlign w:val="center"/>
          </w:tcPr>
          <w:p>
            <w:pPr>
              <w:widowControl/>
              <w:spacing w:line="480" w:lineRule="auto"/>
              <w:jc w:val="center"/>
              <w:rPr>
                <w:rFonts w:ascii="宋体" w:hAnsi="宋体" w:cs="宋体"/>
                <w:color w:val="333333"/>
                <w:kern w:val="0"/>
                <w:szCs w:val="21"/>
              </w:rPr>
            </w:pPr>
            <w:r>
              <w:rPr>
                <w:rFonts w:hint="eastAsia" w:ascii="宋体" w:hAnsi="宋体" w:cs="宋体"/>
                <w:color w:val="333333"/>
                <w:kern w:val="0"/>
                <w:szCs w:val="21"/>
              </w:rPr>
              <w:t>5</w:t>
            </w:r>
          </w:p>
        </w:tc>
        <w:tc>
          <w:tcPr>
            <w:tcW w:w="1079" w:type="dxa"/>
            <w:shd w:val="clear" w:color="auto" w:fill="FFFFFF"/>
            <w:noWrap w:val="0"/>
            <w:vAlign w:val="top"/>
          </w:tcPr>
          <w:p>
            <w:pPr>
              <w:widowControl/>
              <w:spacing w:line="480" w:lineRule="auto"/>
              <w:rPr>
                <w:rFonts w:hint="eastAsia" w:ascii="宋体" w:hAnsi="宋体" w:cs="宋体"/>
                <w:color w:val="333333"/>
                <w:kern w:val="0"/>
                <w:szCs w:val="21"/>
              </w:rPr>
            </w:pPr>
            <w:r>
              <w:rPr>
                <w:rFonts w:hint="eastAsia" w:ascii="宋体" w:hAnsi="宋体" w:cs="宋体"/>
                <w:color w:val="333333"/>
                <w:kern w:val="0"/>
                <w:szCs w:val="21"/>
              </w:rPr>
              <w:t>共同评审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80" w:type="dxa"/>
            <w:vMerge w:val="continue"/>
            <w:shd w:val="clear" w:color="auto" w:fill="FFFFFF"/>
            <w:noWrap w:val="0"/>
            <w:vAlign w:val="top"/>
          </w:tcPr>
          <w:p>
            <w:pPr>
              <w:widowControl/>
              <w:spacing w:line="480" w:lineRule="auto"/>
              <w:rPr>
                <w:rFonts w:ascii="宋体" w:hAnsi="宋体" w:cs="宋体"/>
                <w:color w:val="333333"/>
                <w:kern w:val="0"/>
                <w:szCs w:val="21"/>
              </w:rPr>
            </w:pPr>
          </w:p>
        </w:tc>
        <w:tc>
          <w:tcPr>
            <w:tcW w:w="940" w:type="dxa"/>
            <w:vMerge w:val="continue"/>
            <w:shd w:val="clear" w:color="auto" w:fill="FFFFFF"/>
            <w:noWrap w:val="0"/>
            <w:vAlign w:val="top"/>
          </w:tcPr>
          <w:p>
            <w:pPr>
              <w:widowControl/>
              <w:spacing w:line="480" w:lineRule="auto"/>
              <w:rPr>
                <w:rFonts w:ascii="宋体" w:hAnsi="宋体" w:cs="宋体"/>
                <w:color w:val="333333"/>
                <w:kern w:val="0"/>
                <w:szCs w:val="21"/>
              </w:rPr>
            </w:pPr>
          </w:p>
        </w:tc>
        <w:tc>
          <w:tcPr>
            <w:tcW w:w="1100" w:type="dxa"/>
            <w:shd w:val="clear" w:color="auto" w:fill="FFFFFF"/>
            <w:noWrap w:val="0"/>
            <w:vAlign w:val="center"/>
          </w:tcPr>
          <w:p>
            <w:pPr>
              <w:widowControl/>
              <w:spacing w:line="480" w:lineRule="auto"/>
              <w:rPr>
                <w:rFonts w:ascii="宋体" w:hAnsi="宋体" w:cs="宋体"/>
                <w:szCs w:val="21"/>
              </w:rPr>
            </w:pPr>
            <w:r>
              <w:rPr>
                <w:rFonts w:hint="eastAsia" w:ascii="宋体" w:hAnsi="宋体" w:cs="宋体"/>
                <w:szCs w:val="21"/>
              </w:rPr>
              <w:t>售后服务</w:t>
            </w:r>
          </w:p>
        </w:tc>
        <w:tc>
          <w:tcPr>
            <w:tcW w:w="5181" w:type="dxa"/>
            <w:shd w:val="clear" w:color="auto" w:fill="FFFFFF"/>
            <w:noWrap w:val="0"/>
            <w:vAlign w:val="top"/>
          </w:tcPr>
          <w:p>
            <w:pPr>
              <w:widowControl/>
              <w:jc w:val="left"/>
              <w:rPr>
                <w:rFonts w:ascii="宋体" w:hAnsi="宋体"/>
                <w:szCs w:val="21"/>
              </w:rPr>
            </w:pPr>
            <w:r>
              <w:rPr>
                <w:rFonts w:hint="eastAsia" w:ascii="宋体"/>
                <w:szCs w:val="21"/>
              </w:rPr>
              <w:t>根据投标人的提供售后服务方案，内容包括：</w:t>
            </w:r>
            <w:r>
              <w:rPr>
                <w:rFonts w:hint="eastAsia" w:ascii="宋体" w:hAnsi="宋体" w:cs="宋体"/>
                <w:color w:val="000000"/>
                <w:kern w:val="0"/>
                <w:szCs w:val="21"/>
                <w:lang w:bidi="ar"/>
              </w:rPr>
              <w:t>（1）售后服务保障措施、（2）技术支持、（3）售后服务响应、（4）本地化售后服务能力、（5）应急保障措施、（6）人员培训计划。每具有一项前述细化指标内容得 1 分，最多得 6 分；每有一处内容存在缺陷扣 1 分。（缺陷是指方案内容与项目实际情况不相符或套用其他项目方案或前后内容相互矛盾或存在与本项目无关的内容）</w:t>
            </w:r>
          </w:p>
        </w:tc>
        <w:tc>
          <w:tcPr>
            <w:tcW w:w="640" w:type="dxa"/>
            <w:shd w:val="clear" w:color="auto" w:fill="FFFFFF"/>
            <w:noWrap w:val="0"/>
            <w:vAlign w:val="center"/>
          </w:tcPr>
          <w:p>
            <w:pPr>
              <w:widowControl/>
              <w:spacing w:line="480" w:lineRule="auto"/>
              <w:jc w:val="center"/>
              <w:rPr>
                <w:rFonts w:ascii="宋体" w:hAnsi="宋体" w:cs="宋体"/>
                <w:color w:val="333333"/>
                <w:kern w:val="0"/>
                <w:szCs w:val="21"/>
              </w:rPr>
            </w:pPr>
            <w:r>
              <w:rPr>
                <w:rFonts w:hint="eastAsia" w:ascii="宋体" w:hAnsi="宋体" w:cs="宋体"/>
                <w:color w:val="333333"/>
                <w:kern w:val="0"/>
                <w:szCs w:val="21"/>
              </w:rPr>
              <w:t>6</w:t>
            </w:r>
          </w:p>
        </w:tc>
        <w:tc>
          <w:tcPr>
            <w:tcW w:w="1079" w:type="dxa"/>
            <w:shd w:val="clear" w:color="auto" w:fill="FFFFFF"/>
            <w:noWrap w:val="0"/>
            <w:vAlign w:val="top"/>
          </w:tcPr>
          <w:p>
            <w:pPr>
              <w:widowControl/>
              <w:spacing w:line="480" w:lineRule="auto"/>
              <w:rPr>
                <w:rFonts w:ascii="宋体" w:hAnsi="宋体" w:cs="宋体"/>
                <w:color w:val="333333"/>
                <w:kern w:val="0"/>
                <w:szCs w:val="21"/>
              </w:rPr>
            </w:pPr>
            <w:r>
              <w:rPr>
                <w:rFonts w:hint="eastAsia" w:ascii="宋体" w:hAnsi="宋体" w:cs="宋体"/>
                <w:color w:val="333333"/>
                <w:kern w:val="0"/>
                <w:szCs w:val="21"/>
              </w:rPr>
              <w:t>共同评审</w:t>
            </w:r>
          </w:p>
        </w:tc>
      </w:tr>
    </w:tbl>
    <w:p>
      <w:pPr>
        <w:widowControl/>
        <w:shd w:val="clear" w:color="auto" w:fill="FFFFFF"/>
        <w:spacing w:line="480" w:lineRule="auto"/>
        <w:rPr>
          <w:rFonts w:hint="eastAsia" w:ascii="宋体" w:hAnsi="宋体" w:eastAsia="宋体" w:cs="宋体"/>
          <w:color w:val="333333"/>
          <w:kern w:val="0"/>
          <w:sz w:val="24"/>
          <w:szCs w:val="24"/>
        </w:rPr>
      </w:pP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□最低</w:t>
      </w:r>
      <w:r>
        <w:rPr>
          <w:rFonts w:ascii="宋体" w:hAnsi="宋体" w:eastAsia="宋体" w:cs="宋体"/>
          <w:color w:val="333333"/>
          <w:kern w:val="0"/>
          <w:sz w:val="24"/>
          <w:szCs w:val="24"/>
        </w:rPr>
        <w:t>评标价法</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评审因素： </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扣除比例</w:t>
      </w:r>
      <w:r>
        <w:rPr>
          <w:rFonts w:ascii="宋体" w:hAnsi="宋体" w:eastAsia="宋体" w:cs="宋体"/>
          <w:color w:val="333333"/>
          <w:kern w:val="0"/>
          <w:sz w:val="24"/>
          <w:szCs w:val="24"/>
        </w:rPr>
        <w:t>%：</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评审标准：</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8、合同管理安排</w:t>
      </w:r>
    </w:p>
    <w:p>
      <w:pPr>
        <w:widowControl/>
        <w:shd w:val="clear" w:color="auto" w:fill="FFFFFF"/>
        <w:spacing w:line="480" w:lineRule="auto"/>
        <w:ind w:firstLine="840"/>
        <w:rPr>
          <w:rFonts w:ascii="宋体" w:hAnsi="宋体" w:eastAsia="宋体" w:cs="宋体"/>
          <w:color w:val="0A82E5"/>
          <w:kern w:val="0"/>
          <w:sz w:val="24"/>
          <w:szCs w:val="24"/>
          <w:shd w:val="clear" w:color="auto" w:fill="FFFF00"/>
        </w:rPr>
      </w:pPr>
      <w:r>
        <w:rPr>
          <w:rFonts w:hint="eastAsia" w:ascii="宋体" w:hAnsi="宋体" w:eastAsia="宋体" w:cs="宋体"/>
          <w:color w:val="000000" w:themeColor="text1"/>
          <w:kern w:val="0"/>
          <w:sz w:val="24"/>
          <w:szCs w:val="24"/>
          <w14:textFill>
            <w14:solidFill>
              <w14:schemeClr w14:val="tx1"/>
            </w14:solidFill>
          </w14:textFill>
        </w:rPr>
        <w:t>1）合同类型：买卖</w:t>
      </w:r>
      <w:r>
        <w:rPr>
          <w:rFonts w:hint="eastAsia" w:ascii="宋体" w:hAnsi="宋体" w:eastAsia="宋体" w:cs="宋体"/>
          <w:color w:val="333333"/>
          <w:kern w:val="0"/>
          <w:sz w:val="24"/>
          <w:szCs w:val="24"/>
        </w:rPr>
        <w:t>合同□  租赁合同□  建设工程合同□  技术合同□  委托合同□  物业管理合同□  其他合同□</w:t>
      </w:r>
    </w:p>
    <w:p>
      <w:pPr>
        <w:widowControl/>
        <w:shd w:val="clear" w:color="auto" w:fill="FFFFFF"/>
        <w:spacing w:line="480" w:lineRule="auto"/>
        <w:ind w:firstLine="840"/>
        <w:rPr>
          <w:rFonts w:ascii="宋体" w:hAnsi="宋体" w:eastAsia="宋体" w:cs="宋体"/>
          <w:color w:val="333333"/>
          <w:kern w:val="0"/>
          <w:sz w:val="24"/>
          <w:szCs w:val="24"/>
        </w:rPr>
      </w:pP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）合同履行期限：</w:t>
      </w:r>
      <w:r>
        <w:rPr>
          <w:rFonts w:hint="eastAsia" w:ascii="宋体" w:hAnsi="宋体" w:eastAsia="宋体" w:cs="宋体"/>
          <w:color w:val="333333"/>
          <w:kern w:val="0"/>
          <w:sz w:val="24"/>
          <w:szCs w:val="24"/>
        </w:rPr>
        <w:t>自合同签订之日起</w:t>
      </w:r>
      <w:r>
        <w:t xml:space="preserve">    </w:t>
      </w:r>
      <w:r>
        <w:rPr>
          <w:rFonts w:hint="eastAsia"/>
        </w:rPr>
        <w:t>120</w:t>
      </w:r>
      <w:r>
        <w:t xml:space="preserve">  </w:t>
      </w:r>
      <w:r>
        <w:rPr>
          <w:rFonts w:hint="eastAsia" w:ascii="宋体" w:hAnsi="宋体" w:eastAsia="宋体" w:cs="宋体"/>
          <w:color w:val="333333"/>
          <w:kern w:val="0"/>
          <w:sz w:val="24"/>
          <w:szCs w:val="24"/>
        </w:rPr>
        <w:t>日</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）合同履约地点：成都</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14:textFill>
            <w14:solidFill>
              <w14:schemeClr w14:val="tx1"/>
            </w14:solidFill>
          </w14:textFill>
        </w:rPr>
      </w:pP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）支付方式</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一次付清</w:t>
      </w:r>
      <w:r>
        <w:rPr>
          <w:rFonts w:hint="eastAsia" w:ascii="宋体" w:hAnsi="宋体" w:eastAsia="宋体" w:cs="宋体"/>
          <w:color w:val="000000" w:themeColor="text1"/>
          <w:kern w:val="0"/>
          <w:sz w:val="24"/>
          <w:szCs w:val="24"/>
          <w14:textFill>
            <w14:solidFill>
              <w14:schemeClr w14:val="tx1"/>
            </w14:solidFill>
          </w14:textFill>
        </w:rPr>
        <w:t>☑</w:t>
      </w:r>
      <w:r>
        <w:rPr>
          <w:rFonts w:hint="eastAsia"/>
          <w:sz w:val="24"/>
        </w:rPr>
        <w:t xml:space="preserve">  </w:t>
      </w:r>
      <w:r>
        <w:rPr>
          <w:rFonts w:hint="eastAsia"/>
          <w:color w:val="000000" w:themeColor="text1"/>
          <w:sz w:val="24"/>
          <w14:textFill>
            <w14:solidFill>
              <w14:schemeClr w14:val="tx1"/>
            </w14:solidFill>
          </w14:textFill>
        </w:rPr>
        <w:t xml:space="preserve"> 分期付款</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比例</w:t>
      </w: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  （0</w:t>
      </w:r>
      <w:r>
        <w:rPr>
          <w:rFonts w:ascii="宋体" w:hAnsi="宋体" w:eastAsia="宋体" w:cs="宋体"/>
          <w:color w:val="000000" w:themeColor="text1"/>
          <w:kern w:val="0"/>
          <w:sz w:val="24"/>
          <w:szCs w:val="24"/>
          <w14:textFill>
            <w14:solidFill>
              <w14:schemeClr w14:val="tx1"/>
            </w14:solidFill>
          </w14:textFill>
        </w:rPr>
        <w:t>-100%可选</w:t>
      </w:r>
      <w:r>
        <w:rPr>
          <w:rFonts w:hint="eastAsia" w:ascii="宋体" w:hAnsi="宋体" w:eastAsia="宋体" w:cs="宋体"/>
          <w:color w:val="000000" w:themeColor="text1"/>
          <w:kern w:val="0"/>
          <w:sz w:val="24"/>
          <w:szCs w:val="24"/>
          <w14:textFill>
            <w14:solidFill>
              <w14:schemeClr w14:val="tx1"/>
            </w14:solidFill>
          </w14:textFill>
        </w:rPr>
        <w:t>）</w:t>
      </w:r>
    </w:p>
    <w:p>
      <w:pPr>
        <w:ind w:firstLine="840" w:firstLineChars="300"/>
        <w:rPr>
          <w:sz w:val="28"/>
        </w:rPr>
      </w:pPr>
      <w:r>
        <w:rPr>
          <w:sz w:val="28"/>
        </w:rPr>
        <w:t>5</w:t>
      </w:r>
      <w:r>
        <w:rPr>
          <w:rFonts w:hint="eastAsia"/>
          <w:sz w:val="28"/>
        </w:rPr>
        <w:t>）履约保证金及缴纳形式：</w:t>
      </w:r>
    </w:p>
    <w:p>
      <w:pPr>
        <w:ind w:firstLine="840" w:firstLineChars="300"/>
        <w:rPr>
          <w:sz w:val="28"/>
        </w:rPr>
      </w:pPr>
      <w:r>
        <w:rPr>
          <w:rFonts w:hint="eastAsia"/>
          <w:sz w:val="28"/>
        </w:rPr>
        <w:t>中标/成交供应商是否需要缴纳履约保证金：是</w:t>
      </w:r>
    </w:p>
    <w:p>
      <w:pPr>
        <w:ind w:firstLine="840" w:firstLineChars="300"/>
        <w:rPr>
          <w:sz w:val="28"/>
        </w:rPr>
      </w:pPr>
      <w:r>
        <w:rPr>
          <w:rFonts w:hint="eastAsia"/>
          <w:sz w:val="28"/>
        </w:rPr>
        <w:t>履约保证金缴纳比例：5%</w:t>
      </w:r>
    </w:p>
    <w:p>
      <w:pPr>
        <w:ind w:firstLine="840" w:firstLineChars="300"/>
        <w:rPr>
          <w:sz w:val="28"/>
        </w:rPr>
      </w:pPr>
      <w:r>
        <w:rPr>
          <w:rFonts w:hint="eastAsia"/>
          <w:sz w:val="28"/>
        </w:rPr>
        <w:t>缴纳方式：银行转账</w:t>
      </w:r>
    </w:p>
    <w:p>
      <w:pPr>
        <w:ind w:firstLine="840" w:firstLineChars="300"/>
        <w:rPr>
          <w:sz w:val="28"/>
        </w:rPr>
      </w:pPr>
      <w:r>
        <w:rPr>
          <w:rFonts w:hint="eastAsia"/>
          <w:sz w:val="28"/>
        </w:rPr>
        <w:t>缴纳说明：缴纳履约保证金后签订合同</w:t>
      </w:r>
    </w:p>
    <w:p>
      <w:pPr>
        <w:ind w:firstLine="840" w:firstLineChars="300"/>
        <w:rPr>
          <w:sz w:val="28"/>
        </w:rPr>
      </w:pPr>
      <w:r>
        <w:rPr>
          <w:sz w:val="28"/>
        </w:rPr>
        <w:t>6</w:t>
      </w:r>
      <w:r>
        <w:rPr>
          <w:rFonts w:hint="eastAsia"/>
          <w:sz w:val="28"/>
        </w:rPr>
        <w:t>）质量保证金及缴纳形式：</w:t>
      </w:r>
    </w:p>
    <w:p>
      <w:pPr>
        <w:ind w:firstLine="700" w:firstLineChars="250"/>
        <w:rPr>
          <w:sz w:val="28"/>
        </w:rPr>
      </w:pPr>
      <w:r>
        <w:rPr>
          <w:rFonts w:hint="eastAsia"/>
          <w:sz w:val="28"/>
        </w:rPr>
        <w:t>中标/成交供应商是否需要缴纳质量保证金：否</w:t>
      </w:r>
    </w:p>
    <w:p>
      <w:pPr>
        <w:ind w:firstLine="600" w:firstLineChars="250"/>
        <w:rPr>
          <w:sz w:val="24"/>
        </w:rPr>
      </w:pPr>
    </w:p>
    <w:p>
      <w:pPr>
        <w:widowControl/>
        <w:shd w:val="clear" w:color="auto" w:fill="FFFFFF"/>
        <w:spacing w:line="480" w:lineRule="auto"/>
        <w:ind w:firstLine="720" w:firstLineChars="300"/>
        <w:rPr>
          <w:rFonts w:ascii="宋体" w:hAnsi="宋体" w:eastAsia="宋体" w:cs="宋体"/>
          <w:color w:val="FF0000"/>
          <w:kern w:val="0"/>
          <w:sz w:val="24"/>
          <w:szCs w:val="24"/>
        </w:rPr>
      </w:pPr>
      <w:r>
        <w:rPr>
          <w:rFonts w:hint="eastAsia" w:ascii="宋体" w:hAnsi="宋体" w:eastAsia="宋体" w:cs="宋体"/>
          <w:color w:val="FF0000"/>
          <w:kern w:val="0"/>
          <w:sz w:val="24"/>
          <w:szCs w:val="24"/>
        </w:rPr>
        <w:t>合同支付约定</w:t>
      </w:r>
    </w:p>
    <w:p>
      <w:pPr>
        <w:widowControl/>
        <w:shd w:val="clear" w:color="auto" w:fill="FFFFFF"/>
        <w:spacing w:line="480" w:lineRule="auto"/>
        <w:ind w:firstLine="720" w:firstLineChars="300"/>
        <w:rPr>
          <w:rFonts w:ascii="宋体" w:hAnsi="宋体" w:eastAsia="宋体" w:cs="宋体"/>
          <w:color w:val="FF0000"/>
          <w:kern w:val="0"/>
          <w:sz w:val="24"/>
          <w:szCs w:val="24"/>
        </w:rPr>
      </w:pPr>
      <w:r>
        <w:rPr>
          <w:rFonts w:hint="eastAsia" w:ascii="宋体" w:hAnsi="宋体" w:eastAsia="宋体" w:cs="宋体"/>
          <w:color w:val="FF0000"/>
          <w:kern w:val="0"/>
          <w:sz w:val="24"/>
          <w:szCs w:val="24"/>
        </w:rPr>
        <w:t>付款</w:t>
      </w:r>
      <w:r>
        <w:rPr>
          <w:rFonts w:ascii="宋体" w:hAnsi="宋体" w:eastAsia="宋体" w:cs="宋体"/>
          <w:color w:val="FF0000"/>
          <w:kern w:val="0"/>
          <w:sz w:val="24"/>
          <w:szCs w:val="24"/>
        </w:rPr>
        <w:t>条件：</w:t>
      </w:r>
    </w:p>
    <w:p>
      <w:pPr>
        <w:widowControl/>
        <w:shd w:val="clear" w:color="auto" w:fill="FFFFFF"/>
        <w:spacing w:line="480" w:lineRule="auto"/>
        <w:ind w:firstLine="720" w:firstLineChars="300"/>
        <w:rPr>
          <w:rFonts w:ascii="宋体" w:hAnsi="宋体" w:eastAsia="宋体" w:cs="宋体"/>
          <w:color w:val="FF0000"/>
          <w:kern w:val="0"/>
          <w:sz w:val="24"/>
          <w:szCs w:val="24"/>
        </w:rPr>
      </w:pPr>
    </w:p>
    <w:p>
      <w:pPr>
        <w:widowControl/>
        <w:shd w:val="clear" w:color="auto" w:fill="FFFFFF"/>
        <w:spacing w:line="480" w:lineRule="auto"/>
        <w:ind w:firstLine="720" w:firstLineChars="300"/>
        <w:rPr>
          <w:rFonts w:ascii="宋体" w:hAnsi="宋体" w:eastAsia="宋体" w:cs="宋体"/>
          <w:color w:val="FF0000"/>
          <w:kern w:val="0"/>
          <w:sz w:val="24"/>
          <w:szCs w:val="24"/>
        </w:rPr>
      </w:pPr>
      <w:r>
        <w:rPr>
          <w:rFonts w:hint="eastAsia" w:ascii="宋体" w:hAnsi="宋体" w:eastAsia="宋体" w:cs="宋体"/>
          <w:color w:val="FF0000"/>
          <w:kern w:val="0"/>
          <w:sz w:val="24"/>
          <w:szCs w:val="24"/>
        </w:rPr>
        <w:t>达到付款</w:t>
      </w:r>
      <w:r>
        <w:rPr>
          <w:rFonts w:ascii="宋体" w:hAnsi="宋体" w:eastAsia="宋体" w:cs="宋体"/>
          <w:color w:val="FF0000"/>
          <w:kern w:val="0"/>
          <w:sz w:val="24"/>
          <w:szCs w:val="24"/>
        </w:rPr>
        <w:t>条件起</w:t>
      </w:r>
      <w:r>
        <w:rPr>
          <w:rFonts w:hint="eastAsia" w:ascii="宋体" w:hAnsi="宋体" w:eastAsia="宋体" w:cs="宋体"/>
          <w:color w:val="FF0000"/>
          <w:kern w:val="0"/>
          <w:sz w:val="24"/>
          <w:szCs w:val="24"/>
        </w:rPr>
        <w:t xml:space="preserve">     日</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支付合同</w:t>
      </w:r>
      <w:r>
        <w:rPr>
          <w:rFonts w:ascii="宋体" w:hAnsi="宋体" w:eastAsia="宋体" w:cs="宋体"/>
          <w:color w:val="FF0000"/>
          <w:kern w:val="0"/>
          <w:sz w:val="24"/>
          <w:szCs w:val="24"/>
        </w:rPr>
        <w:t>总金额</w:t>
      </w:r>
      <w:r>
        <w:rPr>
          <w:rFonts w:hint="eastAsia" w:ascii="宋体" w:hAnsi="宋体" w:eastAsia="宋体" w:cs="宋体"/>
          <w:color w:val="FF0000"/>
          <w:kern w:val="0"/>
          <w:sz w:val="24"/>
          <w:szCs w:val="24"/>
        </w:rPr>
        <w:t xml:space="preserve">       </w:t>
      </w:r>
      <w:r>
        <w:rPr>
          <w:rFonts w:ascii="宋体" w:hAnsi="宋体" w:eastAsia="宋体" w:cs="宋体"/>
          <w:color w:val="FF0000"/>
          <w:kern w:val="0"/>
          <w:sz w:val="24"/>
          <w:szCs w:val="24"/>
        </w:rPr>
        <w:t>%。</w:t>
      </w:r>
    </w:p>
    <w:p>
      <w:pPr>
        <w:widowControl/>
        <w:shd w:val="clear" w:color="auto" w:fill="FFFFFF"/>
        <w:spacing w:line="480" w:lineRule="auto"/>
        <w:ind w:firstLine="720" w:firstLineChars="300"/>
        <w:rPr>
          <w:rFonts w:ascii="宋体" w:hAnsi="宋体" w:eastAsia="宋体" w:cs="宋体"/>
          <w:color w:val="FF0000"/>
          <w:kern w:val="0"/>
          <w:sz w:val="24"/>
          <w:szCs w:val="24"/>
        </w:rPr>
      </w:pPr>
      <w:r>
        <w:rPr>
          <w:rFonts w:hint="eastAsia" w:ascii="宋体" w:hAnsi="宋体" w:eastAsia="宋体" w:cs="宋体"/>
          <w:color w:val="FF0000"/>
          <w:kern w:val="0"/>
          <w:sz w:val="24"/>
          <w:szCs w:val="24"/>
        </w:rPr>
        <w:t>分期付款条件（如有）：</w:t>
      </w:r>
    </w:p>
    <w:p>
      <w:pPr>
        <w:widowControl/>
        <w:shd w:val="clear" w:color="auto" w:fill="FFFFFF"/>
        <w:spacing w:line="480" w:lineRule="auto"/>
        <w:ind w:firstLine="720" w:firstLineChars="300"/>
        <w:rPr>
          <w:rFonts w:ascii="宋体" w:hAnsi="宋体" w:eastAsia="宋体" w:cs="宋体"/>
          <w:color w:val="FF0000"/>
          <w:kern w:val="0"/>
          <w:sz w:val="24"/>
          <w:szCs w:val="24"/>
        </w:rPr>
      </w:pPr>
      <w:r>
        <w:rPr>
          <w:rFonts w:hint="eastAsia" w:ascii="宋体" w:hAnsi="宋体" w:eastAsia="宋体" w:cs="宋体"/>
          <w:color w:val="FF0000"/>
          <w:kern w:val="0"/>
          <w:sz w:val="24"/>
          <w:szCs w:val="24"/>
        </w:rPr>
        <w:t>达到付款</w:t>
      </w:r>
      <w:r>
        <w:rPr>
          <w:rFonts w:ascii="宋体" w:hAnsi="宋体" w:eastAsia="宋体" w:cs="宋体"/>
          <w:color w:val="FF0000"/>
          <w:kern w:val="0"/>
          <w:sz w:val="24"/>
          <w:szCs w:val="24"/>
        </w:rPr>
        <w:t>条件起</w:t>
      </w:r>
      <w:r>
        <w:rPr>
          <w:rFonts w:hint="eastAsia" w:ascii="宋体" w:hAnsi="宋体" w:eastAsia="宋体" w:cs="宋体"/>
          <w:color w:val="FF0000"/>
          <w:kern w:val="0"/>
          <w:sz w:val="24"/>
          <w:szCs w:val="24"/>
        </w:rPr>
        <w:t xml:space="preserve">     日</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支付合同</w:t>
      </w:r>
      <w:r>
        <w:rPr>
          <w:rFonts w:ascii="宋体" w:hAnsi="宋体" w:eastAsia="宋体" w:cs="宋体"/>
          <w:color w:val="FF0000"/>
          <w:kern w:val="0"/>
          <w:sz w:val="24"/>
          <w:szCs w:val="24"/>
        </w:rPr>
        <w:t>总金额</w:t>
      </w:r>
      <w:r>
        <w:rPr>
          <w:rFonts w:hint="eastAsia" w:ascii="宋体" w:hAnsi="宋体" w:eastAsia="宋体" w:cs="宋体"/>
          <w:color w:val="FF0000"/>
          <w:kern w:val="0"/>
          <w:sz w:val="24"/>
          <w:szCs w:val="24"/>
        </w:rPr>
        <w:t xml:space="preserve">       </w:t>
      </w:r>
      <w:r>
        <w:rPr>
          <w:rFonts w:ascii="宋体" w:hAnsi="宋体" w:eastAsia="宋体" w:cs="宋体"/>
          <w:color w:val="FF0000"/>
          <w:kern w:val="0"/>
          <w:sz w:val="24"/>
          <w:szCs w:val="24"/>
        </w:rPr>
        <w:t>%。</w:t>
      </w:r>
    </w:p>
    <w:p>
      <w:pPr>
        <w:widowControl/>
        <w:shd w:val="clear" w:color="auto" w:fill="FFFFFF"/>
        <w:spacing w:line="480" w:lineRule="auto"/>
        <w:ind w:firstLine="840"/>
        <w:rPr>
          <w:rFonts w:ascii="宋体" w:hAnsi="宋体" w:eastAsia="宋体" w:cs="宋体"/>
          <w:color w:val="FF0000"/>
          <w:kern w:val="0"/>
          <w:sz w:val="24"/>
          <w:szCs w:val="24"/>
        </w:rPr>
      </w:pPr>
      <w:r>
        <w:rPr>
          <w:rFonts w:ascii="宋体" w:hAnsi="宋体" w:eastAsia="宋体" w:cs="宋体"/>
          <w:color w:val="FF0000"/>
          <w:kern w:val="0"/>
          <w:sz w:val="24"/>
          <w:szCs w:val="24"/>
        </w:rPr>
        <w:t>7</w:t>
      </w:r>
      <w:r>
        <w:rPr>
          <w:rFonts w:hint="eastAsia" w:ascii="宋体" w:hAnsi="宋体" w:eastAsia="宋体" w:cs="宋体"/>
          <w:color w:val="FF0000"/>
          <w:kern w:val="0"/>
          <w:sz w:val="24"/>
          <w:szCs w:val="24"/>
        </w:rPr>
        <w:t>）验收交付标准和方法：</w:t>
      </w:r>
    </w:p>
    <w:p>
      <w:pPr>
        <w:widowControl/>
        <w:shd w:val="clear" w:color="auto" w:fill="FFFFFF"/>
        <w:spacing w:line="480" w:lineRule="auto"/>
        <w:ind w:firstLine="840"/>
        <w:rPr>
          <w:rFonts w:ascii="宋体" w:hAnsi="宋体" w:eastAsia="宋体" w:cs="宋体"/>
          <w:color w:val="FF0000"/>
          <w:kern w:val="0"/>
          <w:sz w:val="24"/>
          <w:szCs w:val="24"/>
        </w:rPr>
      </w:pPr>
    </w:p>
    <w:p>
      <w:pPr>
        <w:widowControl/>
        <w:shd w:val="clear" w:color="auto" w:fill="FFFFFF"/>
        <w:spacing w:line="480" w:lineRule="auto"/>
        <w:ind w:firstLine="840"/>
        <w:rPr>
          <w:rFonts w:ascii="宋体" w:hAnsi="宋体" w:eastAsia="宋体" w:cs="宋体"/>
          <w:color w:val="FF0000"/>
          <w:kern w:val="0"/>
          <w:sz w:val="24"/>
          <w:szCs w:val="24"/>
        </w:rPr>
      </w:pPr>
      <w:r>
        <w:rPr>
          <w:rFonts w:ascii="宋体" w:hAnsi="宋体" w:eastAsia="宋体" w:cs="宋体"/>
          <w:color w:val="FF0000"/>
          <w:kern w:val="0"/>
          <w:sz w:val="24"/>
          <w:szCs w:val="24"/>
        </w:rPr>
        <w:t>8</w:t>
      </w:r>
      <w:r>
        <w:rPr>
          <w:rFonts w:hint="eastAsia" w:ascii="宋体" w:hAnsi="宋体" w:eastAsia="宋体" w:cs="宋体"/>
          <w:color w:val="FF0000"/>
          <w:kern w:val="0"/>
          <w:sz w:val="24"/>
          <w:szCs w:val="24"/>
        </w:rPr>
        <w:t>）质量保修范围和保修期：</w:t>
      </w:r>
    </w:p>
    <w:p>
      <w:pPr>
        <w:widowControl/>
        <w:shd w:val="clear" w:color="auto" w:fill="FFFFFF"/>
        <w:spacing w:line="480" w:lineRule="auto"/>
        <w:ind w:firstLine="840"/>
        <w:rPr>
          <w:rFonts w:ascii="宋体" w:hAnsi="宋体" w:eastAsia="宋体" w:cs="宋体"/>
          <w:color w:val="FF0000"/>
          <w:kern w:val="0"/>
          <w:sz w:val="24"/>
          <w:szCs w:val="24"/>
        </w:rPr>
      </w:pPr>
    </w:p>
    <w:p>
      <w:pPr>
        <w:widowControl/>
        <w:shd w:val="clear" w:color="auto" w:fill="FFFFFF"/>
        <w:spacing w:line="480" w:lineRule="auto"/>
        <w:ind w:firstLine="840"/>
        <w:rPr>
          <w:rFonts w:ascii="宋体" w:hAnsi="宋体" w:eastAsia="宋体" w:cs="宋体"/>
          <w:color w:val="FF0000"/>
          <w:kern w:val="0"/>
          <w:sz w:val="24"/>
          <w:szCs w:val="24"/>
        </w:rPr>
      </w:pPr>
      <w:r>
        <w:rPr>
          <w:rFonts w:ascii="宋体" w:hAnsi="宋体" w:eastAsia="宋体" w:cs="宋体"/>
          <w:color w:val="FF0000"/>
          <w:kern w:val="0"/>
          <w:sz w:val="24"/>
          <w:szCs w:val="24"/>
        </w:rPr>
        <w:t>9</w:t>
      </w:r>
      <w:r>
        <w:rPr>
          <w:rFonts w:hint="eastAsia" w:ascii="宋体" w:hAnsi="宋体" w:eastAsia="宋体" w:cs="宋体"/>
          <w:color w:val="FF0000"/>
          <w:kern w:val="0"/>
          <w:sz w:val="24"/>
          <w:szCs w:val="24"/>
        </w:rPr>
        <w:t>）知识产权归属和处理方式：</w:t>
      </w:r>
    </w:p>
    <w:p>
      <w:pPr>
        <w:widowControl/>
        <w:shd w:val="clear" w:color="auto" w:fill="FFFFFF"/>
        <w:spacing w:line="480" w:lineRule="auto"/>
        <w:ind w:firstLine="840"/>
        <w:rPr>
          <w:rFonts w:ascii="宋体" w:hAnsi="宋体" w:eastAsia="宋体" w:cs="宋体"/>
          <w:color w:val="FF0000"/>
          <w:kern w:val="0"/>
          <w:sz w:val="24"/>
          <w:szCs w:val="24"/>
        </w:rPr>
      </w:pPr>
    </w:p>
    <w:p>
      <w:pPr>
        <w:widowControl/>
        <w:shd w:val="clear" w:color="auto" w:fill="FFFFFF"/>
        <w:spacing w:line="480" w:lineRule="auto"/>
        <w:ind w:firstLine="840"/>
        <w:rPr>
          <w:rFonts w:ascii="宋体" w:hAnsi="宋体" w:eastAsia="宋体" w:cs="宋体"/>
          <w:color w:val="FF0000"/>
          <w:kern w:val="0"/>
          <w:sz w:val="24"/>
          <w:szCs w:val="24"/>
        </w:rPr>
      </w:pPr>
      <w:r>
        <w:rPr>
          <w:rFonts w:hint="eastAsia" w:ascii="宋体" w:hAnsi="宋体" w:eastAsia="宋体" w:cs="宋体"/>
          <w:color w:val="FF0000"/>
          <w:kern w:val="0"/>
          <w:sz w:val="24"/>
          <w:szCs w:val="24"/>
        </w:rPr>
        <w:t>1</w:t>
      </w:r>
      <w:r>
        <w:rPr>
          <w:rFonts w:ascii="宋体" w:hAnsi="宋体" w:eastAsia="宋体" w:cs="宋体"/>
          <w:color w:val="FF0000"/>
          <w:kern w:val="0"/>
          <w:sz w:val="24"/>
          <w:szCs w:val="24"/>
        </w:rPr>
        <w:t>0</w:t>
      </w:r>
      <w:r>
        <w:rPr>
          <w:rFonts w:hint="eastAsia" w:ascii="宋体" w:hAnsi="宋体" w:eastAsia="宋体" w:cs="宋体"/>
          <w:color w:val="FF0000"/>
          <w:kern w:val="0"/>
          <w:sz w:val="24"/>
          <w:szCs w:val="24"/>
        </w:rPr>
        <w:t>）成本补偿和风险分担约定：</w:t>
      </w:r>
    </w:p>
    <w:p>
      <w:pPr>
        <w:widowControl/>
        <w:shd w:val="clear" w:color="auto" w:fill="FFFFFF"/>
        <w:spacing w:line="480" w:lineRule="auto"/>
        <w:ind w:firstLine="840"/>
        <w:rPr>
          <w:rFonts w:ascii="宋体" w:hAnsi="宋体" w:eastAsia="宋体" w:cs="宋体"/>
          <w:color w:val="FF0000"/>
          <w:kern w:val="0"/>
          <w:sz w:val="24"/>
          <w:szCs w:val="24"/>
        </w:rPr>
      </w:pPr>
    </w:p>
    <w:p>
      <w:pPr>
        <w:widowControl/>
        <w:shd w:val="clear" w:color="auto" w:fill="FFFFFF"/>
        <w:spacing w:line="480" w:lineRule="auto"/>
        <w:ind w:firstLine="840"/>
        <w:rPr>
          <w:rFonts w:ascii="宋体" w:hAnsi="宋体" w:eastAsia="宋体" w:cs="宋体"/>
          <w:color w:val="FF0000"/>
          <w:kern w:val="0"/>
          <w:sz w:val="24"/>
          <w:szCs w:val="24"/>
          <w:shd w:val="clear" w:color="auto" w:fill="FFFF00"/>
        </w:rPr>
      </w:pPr>
      <w:r>
        <w:rPr>
          <w:rFonts w:hint="eastAsia" w:ascii="宋体" w:hAnsi="宋体" w:eastAsia="宋体" w:cs="宋体"/>
          <w:color w:val="FF0000"/>
          <w:kern w:val="0"/>
          <w:sz w:val="24"/>
          <w:szCs w:val="24"/>
        </w:rPr>
        <w:t>1</w:t>
      </w:r>
      <w:r>
        <w:rPr>
          <w:rFonts w:ascii="宋体" w:hAnsi="宋体" w:eastAsia="宋体" w:cs="宋体"/>
          <w:color w:val="FF0000"/>
          <w:kern w:val="0"/>
          <w:sz w:val="24"/>
          <w:szCs w:val="24"/>
        </w:rPr>
        <w:t>1</w:t>
      </w:r>
      <w:r>
        <w:rPr>
          <w:rFonts w:hint="eastAsia" w:ascii="宋体" w:hAnsi="宋体" w:eastAsia="宋体" w:cs="宋体"/>
          <w:color w:val="FF0000"/>
          <w:kern w:val="0"/>
          <w:sz w:val="24"/>
          <w:szCs w:val="24"/>
        </w:rPr>
        <w:t>）违约责任与解决争议的方法：</w:t>
      </w:r>
    </w:p>
    <w:p>
      <w:pPr>
        <w:widowControl/>
        <w:shd w:val="clear" w:color="auto" w:fill="FFFFFF"/>
        <w:spacing w:line="480" w:lineRule="auto"/>
        <w:ind w:firstLine="840"/>
        <w:rPr>
          <w:rFonts w:ascii="宋体" w:hAnsi="宋体" w:eastAsia="宋体" w:cs="宋体"/>
          <w:color w:val="FF0000"/>
          <w:kern w:val="0"/>
          <w:sz w:val="24"/>
          <w:szCs w:val="24"/>
        </w:rPr>
      </w:pPr>
    </w:p>
    <w:p>
      <w:pPr>
        <w:widowControl/>
        <w:shd w:val="clear" w:color="auto" w:fill="FFFFFF"/>
        <w:spacing w:line="480" w:lineRule="auto"/>
        <w:ind w:firstLine="840"/>
        <w:rPr>
          <w:rFonts w:ascii="宋体" w:hAnsi="宋体" w:eastAsia="宋体" w:cs="宋体"/>
          <w:color w:val="FF0000"/>
          <w:kern w:val="0"/>
          <w:sz w:val="24"/>
          <w:szCs w:val="24"/>
        </w:rPr>
      </w:pPr>
      <w:r>
        <w:rPr>
          <w:rFonts w:hint="eastAsia" w:ascii="宋体" w:hAnsi="宋体" w:eastAsia="宋体" w:cs="宋体"/>
          <w:color w:val="FF0000"/>
          <w:kern w:val="0"/>
          <w:sz w:val="24"/>
          <w:szCs w:val="24"/>
        </w:rPr>
        <w:t>1</w:t>
      </w:r>
      <w:r>
        <w:rPr>
          <w:rFonts w:ascii="宋体" w:hAnsi="宋体" w:eastAsia="宋体" w:cs="宋体"/>
          <w:color w:val="FF0000"/>
          <w:kern w:val="0"/>
          <w:sz w:val="24"/>
          <w:szCs w:val="24"/>
        </w:rPr>
        <w:t>2</w:t>
      </w:r>
      <w:r>
        <w:rPr>
          <w:rFonts w:hint="eastAsia" w:ascii="宋体" w:hAnsi="宋体" w:eastAsia="宋体" w:cs="宋体"/>
          <w:color w:val="FF0000"/>
          <w:kern w:val="0"/>
          <w:sz w:val="24"/>
          <w:szCs w:val="24"/>
        </w:rPr>
        <w:t>）合同其他条款：</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420"/>
        <w:rPr>
          <w:rFonts w:ascii="宋体" w:hAnsi="宋体" w:eastAsia="宋体" w:cs="宋体"/>
          <w:color w:val="FF0000"/>
          <w:kern w:val="0"/>
          <w:sz w:val="24"/>
          <w:szCs w:val="24"/>
        </w:rPr>
      </w:pPr>
      <w:r>
        <w:rPr>
          <w:rFonts w:hint="eastAsia" w:ascii="宋体" w:hAnsi="宋体" w:eastAsia="宋体" w:cs="宋体"/>
          <w:color w:val="FF0000"/>
          <w:kern w:val="0"/>
          <w:sz w:val="24"/>
          <w:szCs w:val="24"/>
        </w:rPr>
        <w:t>9、履约验收方案</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1）验收组织方式：</w:t>
      </w:r>
      <w:r>
        <w:rPr>
          <w:rFonts w:hint="eastAsia" w:ascii="宋体" w:hAnsi="宋体" w:eastAsia="宋体" w:cs="宋体"/>
          <w:color w:val="333333"/>
          <w:kern w:val="0"/>
          <w:sz w:val="24"/>
          <w:szCs w:val="24"/>
        </w:rPr>
        <w:sym w:font="Wingdings 2" w:char="00A3"/>
      </w:r>
      <w:r>
        <w:rPr>
          <w:rFonts w:hint="eastAsia" w:ascii="宋体" w:hAnsi="宋体" w:eastAsia="宋体" w:cs="宋体"/>
          <w:color w:val="333333"/>
          <w:kern w:val="0"/>
          <w:sz w:val="24"/>
          <w:szCs w:val="24"/>
        </w:rPr>
        <w:t>自行验收   □委托第三方验收</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2）是否邀请本项目的其他供应商：是□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A3"/>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3）是否邀请专家：是</w:t>
      </w:r>
      <w:r>
        <w:rPr>
          <w:rFonts w:hint="eastAsia" w:ascii="宋体" w:hAnsi="宋体" w:eastAsia="宋体" w:cs="宋体"/>
          <w:color w:val="333333"/>
          <w:kern w:val="0"/>
          <w:sz w:val="24"/>
          <w:szCs w:val="24"/>
        </w:rPr>
        <w:sym w:font="Wingdings 2" w:char="00A3"/>
      </w:r>
      <w:r>
        <w:rPr>
          <w:rFonts w:hint="eastAsia" w:ascii="宋体" w:hAnsi="宋体" w:eastAsia="宋体" w:cs="宋体"/>
          <w:color w:val="333333"/>
          <w:kern w:val="0"/>
          <w:sz w:val="24"/>
          <w:szCs w:val="24"/>
        </w:rPr>
        <w:t xml:space="preserve">  否□</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4）是否邀请服务对象：是</w:t>
      </w:r>
      <w:r>
        <w:rPr>
          <w:rFonts w:hint="eastAsia" w:ascii="宋体" w:hAnsi="宋体" w:eastAsia="宋体" w:cs="宋体"/>
          <w:color w:val="333333"/>
          <w:kern w:val="0"/>
          <w:sz w:val="24"/>
          <w:szCs w:val="24"/>
        </w:rPr>
        <w:sym w:font="Wingdings 2" w:char="00A3"/>
      </w:r>
      <w:r>
        <w:rPr>
          <w:rFonts w:hint="eastAsia" w:ascii="宋体" w:hAnsi="宋体" w:eastAsia="宋体" w:cs="宋体"/>
          <w:color w:val="333333"/>
          <w:kern w:val="0"/>
          <w:sz w:val="24"/>
          <w:szCs w:val="24"/>
        </w:rPr>
        <w:t xml:space="preserve">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5）是否邀请第三方检测机构：是□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A3"/>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6）履约验收程序：</w:t>
      </w:r>
      <w:r>
        <w:rPr>
          <w:rFonts w:hint="eastAsia" w:ascii="宋体" w:hAnsi="宋体" w:eastAsia="宋体" w:cs="宋体"/>
          <w:color w:val="333333"/>
          <w:kern w:val="0"/>
          <w:sz w:val="24"/>
          <w:szCs w:val="24"/>
        </w:rPr>
        <w:sym w:font="Wingdings 2" w:char="00A3"/>
      </w:r>
      <w:r>
        <w:rPr>
          <w:rFonts w:hint="eastAsia" w:ascii="宋体" w:hAnsi="宋体" w:eastAsia="宋体" w:cs="宋体"/>
          <w:color w:val="333333"/>
          <w:kern w:val="0"/>
          <w:sz w:val="24"/>
          <w:szCs w:val="24"/>
        </w:rPr>
        <w:t>一次性验收   □分段/分期验收</w:t>
      </w:r>
    </w:p>
    <w:p>
      <w:pPr>
        <w:ind w:firstLine="840" w:firstLineChars="300"/>
        <w:rPr>
          <w:sz w:val="28"/>
        </w:rPr>
      </w:pPr>
      <w:r>
        <w:rPr>
          <w:rFonts w:hint="eastAsia"/>
          <w:sz w:val="28"/>
        </w:rPr>
        <w:t>7）履约验收时间：</w:t>
      </w:r>
    </w:p>
    <w:p>
      <w:pPr>
        <w:ind w:firstLine="700" w:firstLineChars="250"/>
        <w:rPr>
          <w:sz w:val="28"/>
        </w:rPr>
      </w:pPr>
      <w:r>
        <w:rPr>
          <w:rFonts w:hint="eastAsia"/>
          <w:sz w:val="28"/>
        </w:rPr>
        <w:t>□计划于</w:t>
      </w:r>
      <w:r>
        <w:rPr>
          <w:rFonts w:hint="eastAsia"/>
          <w:sz w:val="28"/>
          <w:lang w:val="en-US" w:eastAsia="zh-CN"/>
        </w:rPr>
        <w:t>2024年11月30日</w:t>
      </w:r>
      <w:r>
        <w:rPr>
          <w:sz w:val="28"/>
        </w:rPr>
        <w:t xml:space="preserve">      </w:t>
      </w:r>
      <w:r>
        <w:rPr>
          <w:rFonts w:hint="eastAsia"/>
          <w:sz w:val="28"/>
        </w:rPr>
        <w:t>组织验收</w:t>
      </w:r>
    </w:p>
    <w:p>
      <w:pPr>
        <w:ind w:firstLine="700" w:firstLineChars="250"/>
        <w:rPr>
          <w:sz w:val="28"/>
        </w:rPr>
      </w:pPr>
      <w:r>
        <w:rPr>
          <w:rFonts w:hint="eastAsia"/>
          <w:sz w:val="28"/>
        </w:rPr>
        <w:t>□供应商提出验收申请之日起</w:t>
      </w:r>
      <w:r>
        <w:rPr>
          <w:sz w:val="28"/>
        </w:rPr>
        <w:t xml:space="preserve">      </w:t>
      </w:r>
      <w:r>
        <w:rPr>
          <w:rFonts w:hint="eastAsia"/>
          <w:sz w:val="28"/>
          <w:lang w:val="en-US" w:eastAsia="zh-CN"/>
        </w:rPr>
        <w:t>20</w:t>
      </w:r>
      <w:r>
        <w:rPr>
          <w:sz w:val="28"/>
        </w:rPr>
        <w:t xml:space="preserve"> </w:t>
      </w:r>
      <w:r>
        <w:rPr>
          <w:rFonts w:hint="eastAsia"/>
          <w:sz w:val="28"/>
        </w:rPr>
        <w:t>日内组织验收</w:t>
      </w:r>
    </w:p>
    <w:p>
      <w:pPr>
        <w:widowControl/>
        <w:shd w:val="clear" w:color="auto" w:fill="FFFFFF"/>
        <w:spacing w:line="480" w:lineRule="auto"/>
        <w:ind w:firstLine="840"/>
        <w:rPr>
          <w:rFonts w:ascii="宋体" w:hAnsi="宋体" w:eastAsia="宋体" w:cs="宋体"/>
          <w:color w:val="333333"/>
          <w:kern w:val="0"/>
          <w:sz w:val="24"/>
          <w:szCs w:val="24"/>
        </w:rPr>
      </w:pPr>
      <w:r>
        <w:rPr>
          <w:rFonts w:ascii="宋体" w:hAnsi="宋体" w:eastAsia="宋体" w:cs="宋体"/>
          <w:color w:val="333333"/>
          <w:kern w:val="0"/>
          <w:sz w:val="24"/>
          <w:szCs w:val="24"/>
        </w:rPr>
        <w:t>8</w:t>
      </w:r>
      <w:r>
        <w:rPr>
          <w:rFonts w:hint="eastAsia" w:ascii="宋体" w:hAnsi="宋体" w:eastAsia="宋体" w:cs="宋体"/>
          <w:color w:val="333333"/>
          <w:kern w:val="0"/>
          <w:sz w:val="24"/>
          <w:szCs w:val="24"/>
        </w:rPr>
        <w:t>）验收组织的其他事项：</w:t>
      </w:r>
      <w:r>
        <w:rPr>
          <w:rFonts w:hint="eastAsia" w:ascii="宋体" w:hAnsi="宋体" w:eastAsia="宋体" w:cs="宋体"/>
          <w:color w:val="0A82E5"/>
          <w:kern w:val="0"/>
          <w:sz w:val="24"/>
          <w:szCs w:val="24"/>
        </w:rPr>
        <w:t xml:space="preserve"> </w:t>
      </w:r>
    </w:p>
    <w:p>
      <w:pPr>
        <w:widowControl/>
        <w:shd w:val="clear" w:color="auto" w:fill="FFFFFF"/>
        <w:spacing w:line="480" w:lineRule="auto"/>
        <w:ind w:firstLine="840"/>
        <w:rPr>
          <w:rFonts w:ascii="宋体" w:hAnsi="宋体" w:eastAsia="宋体" w:cs="宋体"/>
          <w:color w:val="333333"/>
          <w:kern w:val="0"/>
          <w:sz w:val="24"/>
          <w:szCs w:val="24"/>
        </w:rPr>
      </w:pPr>
      <w:r>
        <w:rPr>
          <w:rFonts w:ascii="宋体" w:hAnsi="宋体" w:eastAsia="宋体" w:cs="宋体"/>
          <w:color w:val="333333"/>
          <w:kern w:val="0"/>
          <w:sz w:val="24"/>
          <w:szCs w:val="24"/>
        </w:rPr>
        <w:t>9</w:t>
      </w:r>
      <w:r>
        <w:rPr>
          <w:rFonts w:hint="eastAsia" w:ascii="宋体" w:hAnsi="宋体" w:eastAsia="宋体" w:cs="宋体"/>
          <w:color w:val="333333"/>
          <w:kern w:val="0"/>
          <w:sz w:val="24"/>
          <w:szCs w:val="24"/>
        </w:rPr>
        <w:t>）技术履约验收内容：</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0A82E5"/>
          <w:kern w:val="0"/>
          <w:sz w:val="24"/>
          <w:szCs w:val="24"/>
          <w:shd w:val="clear" w:color="auto" w:fill="FFFF00"/>
        </w:rPr>
      </w:pPr>
      <w:r>
        <w:rPr>
          <w:rFonts w:ascii="宋体" w:hAnsi="宋体" w:eastAsia="宋体" w:cs="宋体"/>
          <w:color w:val="333333"/>
          <w:kern w:val="0"/>
          <w:sz w:val="24"/>
          <w:szCs w:val="24"/>
        </w:rPr>
        <w:t>10</w:t>
      </w:r>
      <w:r>
        <w:rPr>
          <w:rFonts w:hint="eastAsia" w:ascii="宋体" w:hAnsi="宋体" w:eastAsia="宋体" w:cs="宋体"/>
          <w:color w:val="333333"/>
          <w:kern w:val="0"/>
          <w:sz w:val="24"/>
          <w:szCs w:val="24"/>
        </w:rPr>
        <w:t>）商务履约验收内容：</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0A82E5"/>
          <w:kern w:val="0"/>
          <w:sz w:val="24"/>
          <w:szCs w:val="24"/>
          <w:shd w:val="clear" w:color="auto" w:fill="FFFF00"/>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）履约验收标准：</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）履约验收其他事项：</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333333"/>
          <w:kern w:val="0"/>
          <w:sz w:val="27"/>
          <w:szCs w:val="27"/>
        </w:rPr>
        <w:t>五、风险控制措施和替代方案</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该采购项目按照《政府采购需求管理办法》第二十五条规定，本项目是否需要组织风险判断、提出处置措施和替代方案：是□（填以下</w:t>
      </w:r>
      <w:r>
        <w:rPr>
          <w:rFonts w:ascii="宋体" w:hAnsi="宋体" w:eastAsia="宋体" w:cs="宋体"/>
          <w:color w:val="333333"/>
          <w:kern w:val="0"/>
          <w:sz w:val="24"/>
          <w:szCs w:val="24"/>
        </w:rPr>
        <w:t>信息</w:t>
      </w:r>
      <w:r>
        <w:rPr>
          <w:rFonts w:hint="eastAsia" w:ascii="宋体" w:hAnsi="宋体" w:eastAsia="宋体" w:cs="宋体"/>
          <w:color w:val="333333"/>
          <w:kern w:val="0"/>
          <w:sz w:val="24"/>
          <w:szCs w:val="24"/>
        </w:rPr>
        <w:t xml:space="preserve">）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1）国家政策变化风险的应对措施：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2）实施环境变化风险的应对措施：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3）重大技术变化风险的应对措施：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4）预算项目调整风险的应对措施：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5）因质疑投诉影响采购进度风险的应对措施：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6）采购失败风险的应对措施：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7）不按规定签订或者履行合同风险的应对措施：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8）出现损害国家利益和社会公共利益情形风险的应对措施：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9）其他采购和合同履行过程的风险及应对措施：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项目负责人（签字）：</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项目单位负责人（签字）：</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经费主管部门负责人（签字）：　　　　　　　　　　　</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6000" w:firstLineChars="250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　年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 xml:space="preserve"> 月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 xml:space="preserve"> 日</w:t>
      </w:r>
    </w:p>
    <w:p/>
    <w:p>
      <w:pPr>
        <w:rPr>
          <w:sz w:val="28"/>
        </w:rPr>
      </w:pPr>
      <w:r>
        <w:rPr>
          <w:rFonts w:hint="eastAsia"/>
          <w:sz w:val="28"/>
        </w:rPr>
        <w:t>注意事项</w:t>
      </w:r>
      <w:r>
        <w:rPr>
          <w:sz w:val="28"/>
        </w:rPr>
        <w:t>：</w:t>
      </w:r>
    </w:p>
    <w:p>
      <w:pPr>
        <w:rPr>
          <w:sz w:val="28"/>
        </w:rPr>
      </w:pPr>
      <w:r>
        <w:rPr>
          <w:rFonts w:hint="eastAsia"/>
          <w:sz w:val="28"/>
        </w:rPr>
        <w:t>1.采购项目预算大于50万元（含50万元）需提供采购单位确定需求的部（处）会议纪要或学院党政联席会议纪要。</w:t>
      </w:r>
    </w:p>
    <w:p>
      <w:pPr>
        <w:rPr>
          <w:sz w:val="28"/>
        </w:rPr>
      </w:pPr>
      <w:r>
        <w:rPr>
          <w:rFonts w:hint="eastAsia"/>
          <w:sz w:val="28"/>
        </w:rPr>
        <w:t>2.各单位政府采购</w:t>
      </w:r>
      <w:r>
        <w:rPr>
          <w:sz w:val="28"/>
        </w:rPr>
        <w:t>项目</w:t>
      </w:r>
      <w:r>
        <w:rPr>
          <w:rFonts w:hint="eastAsia"/>
          <w:sz w:val="28"/>
        </w:rPr>
        <w:t>的采购</w:t>
      </w:r>
      <w:r>
        <w:rPr>
          <w:sz w:val="28"/>
        </w:rPr>
        <w:t>需求</w:t>
      </w:r>
      <w:r>
        <w:rPr>
          <w:rFonts w:hint="eastAsia"/>
          <w:sz w:val="28"/>
        </w:rPr>
        <w:t>在部门（学院）</w:t>
      </w:r>
      <w:r>
        <w:rPr>
          <w:sz w:val="28"/>
        </w:rPr>
        <w:t>网站</w:t>
      </w:r>
      <w:r>
        <w:rPr>
          <w:rFonts w:hint="eastAsia"/>
          <w:sz w:val="28"/>
        </w:rPr>
        <w:t>首页公示不少于3天。公示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r>
        <w:rPr>
          <w:sz w:val="28"/>
        </w:rPr>
        <w:t>交国有资产与实验室管理处（</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2D98B"/>
    <w:multiLevelType w:val="singleLevel"/>
    <w:tmpl w:val="9752D98B"/>
    <w:lvl w:ilvl="0" w:tentative="0">
      <w:start w:val="4"/>
      <w:numFmt w:val="decimal"/>
      <w:lvlText w:val="%1."/>
      <w:lvlJc w:val="left"/>
      <w:pPr>
        <w:tabs>
          <w:tab w:val="left" w:pos="312"/>
        </w:tabs>
      </w:pPr>
    </w:lvl>
  </w:abstractNum>
  <w:abstractNum w:abstractNumId="1">
    <w:nsid w:val="F0E2C1FA"/>
    <w:multiLevelType w:val="singleLevel"/>
    <w:tmpl w:val="F0E2C1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mNmM4MGJjNjFiNWFhOWM1MDdhYjU2YzA5NTkwNTcifQ=="/>
    <w:docVar w:name="KSO_WPS_MARK_KEY" w:val="0f04311f-88f7-41ba-881c-1f96384dd977"/>
  </w:docVars>
  <w:rsids>
    <w:rsidRoot w:val="00283798"/>
    <w:rsid w:val="00042998"/>
    <w:rsid w:val="000470FC"/>
    <w:rsid w:val="00060343"/>
    <w:rsid w:val="000A232A"/>
    <w:rsid w:val="001826CA"/>
    <w:rsid w:val="00186E4C"/>
    <w:rsid w:val="00211355"/>
    <w:rsid w:val="00226CED"/>
    <w:rsid w:val="002502DF"/>
    <w:rsid w:val="00283798"/>
    <w:rsid w:val="00321DC7"/>
    <w:rsid w:val="00334BD1"/>
    <w:rsid w:val="0035375B"/>
    <w:rsid w:val="00372032"/>
    <w:rsid w:val="00375C98"/>
    <w:rsid w:val="00420486"/>
    <w:rsid w:val="0044357E"/>
    <w:rsid w:val="00481673"/>
    <w:rsid w:val="005005DE"/>
    <w:rsid w:val="005054AE"/>
    <w:rsid w:val="005E78B8"/>
    <w:rsid w:val="005E79E8"/>
    <w:rsid w:val="006269DA"/>
    <w:rsid w:val="006342A2"/>
    <w:rsid w:val="00694F1A"/>
    <w:rsid w:val="006B2C46"/>
    <w:rsid w:val="006F066B"/>
    <w:rsid w:val="006F3BE4"/>
    <w:rsid w:val="006F5DC0"/>
    <w:rsid w:val="00734F56"/>
    <w:rsid w:val="00761E5F"/>
    <w:rsid w:val="00764016"/>
    <w:rsid w:val="007B2A0D"/>
    <w:rsid w:val="007C25E0"/>
    <w:rsid w:val="007C632E"/>
    <w:rsid w:val="007D5516"/>
    <w:rsid w:val="007E3D67"/>
    <w:rsid w:val="00804CA5"/>
    <w:rsid w:val="00842391"/>
    <w:rsid w:val="0085483B"/>
    <w:rsid w:val="00861D71"/>
    <w:rsid w:val="00967EF2"/>
    <w:rsid w:val="009B4396"/>
    <w:rsid w:val="009C70BC"/>
    <w:rsid w:val="009D6C38"/>
    <w:rsid w:val="009E34C5"/>
    <w:rsid w:val="00A80DA9"/>
    <w:rsid w:val="00AB037C"/>
    <w:rsid w:val="00AC36B1"/>
    <w:rsid w:val="00B267AB"/>
    <w:rsid w:val="00C12962"/>
    <w:rsid w:val="00C23544"/>
    <w:rsid w:val="00C655D2"/>
    <w:rsid w:val="00CC0738"/>
    <w:rsid w:val="00CE0987"/>
    <w:rsid w:val="00D004BF"/>
    <w:rsid w:val="00D05B16"/>
    <w:rsid w:val="00DC32F1"/>
    <w:rsid w:val="00DF66B1"/>
    <w:rsid w:val="00E227CD"/>
    <w:rsid w:val="00E45D59"/>
    <w:rsid w:val="00E72FE3"/>
    <w:rsid w:val="00EA03B9"/>
    <w:rsid w:val="00EC4B2C"/>
    <w:rsid w:val="00F039EF"/>
    <w:rsid w:val="00F04A5D"/>
    <w:rsid w:val="00F2213D"/>
    <w:rsid w:val="00F26391"/>
    <w:rsid w:val="00FA296F"/>
    <w:rsid w:val="05BF31DD"/>
    <w:rsid w:val="09E75C7C"/>
    <w:rsid w:val="120520B9"/>
    <w:rsid w:val="19EA79A2"/>
    <w:rsid w:val="202D284F"/>
    <w:rsid w:val="22700BA6"/>
    <w:rsid w:val="274F0C7A"/>
    <w:rsid w:val="35267B66"/>
    <w:rsid w:val="3BBF0327"/>
    <w:rsid w:val="58FC71A2"/>
    <w:rsid w:val="655405F7"/>
    <w:rsid w:val="6E325954"/>
    <w:rsid w:val="75014B4C"/>
    <w:rsid w:val="7FA3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qFormat/>
    <w:uiPriority w:val="0"/>
    <w:pPr>
      <w:keepNext/>
      <w:keepLines/>
      <w:spacing w:before="80" w:after="80" w:line="360" w:lineRule="auto"/>
      <w:outlineLvl w:val="3"/>
    </w:pPr>
    <w:rPr>
      <w:rFonts w:ascii="Cambria" w:hAnsi="Cambria"/>
      <w:b/>
      <w:bCs/>
      <w:sz w:val="28"/>
      <w:szCs w:val="28"/>
    </w:rPr>
  </w:style>
  <w:style w:type="paragraph" w:styleId="6">
    <w:name w:val="heading 5"/>
    <w:basedOn w:val="1"/>
    <w:next w:val="1"/>
    <w:link w:val="19"/>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character" w:customStyle="1" w:styleId="17">
    <w:name w:val="标题 1 字符"/>
    <w:basedOn w:val="13"/>
    <w:link w:val="3"/>
    <w:qFormat/>
    <w:uiPriority w:val="9"/>
    <w:rPr>
      <w:rFonts w:ascii="宋体" w:hAnsi="宋体" w:eastAsia="宋体" w:cs="宋体"/>
      <w:b/>
      <w:bCs/>
      <w:kern w:val="36"/>
      <w:sz w:val="48"/>
      <w:szCs w:val="48"/>
    </w:rPr>
  </w:style>
  <w:style w:type="character" w:customStyle="1" w:styleId="18">
    <w:name w:val="标题 3 字符"/>
    <w:basedOn w:val="13"/>
    <w:link w:val="4"/>
    <w:qFormat/>
    <w:uiPriority w:val="9"/>
    <w:rPr>
      <w:rFonts w:ascii="宋体" w:hAnsi="宋体" w:eastAsia="宋体" w:cs="宋体"/>
      <w:b/>
      <w:bCs/>
      <w:kern w:val="0"/>
      <w:sz w:val="27"/>
      <w:szCs w:val="27"/>
    </w:rPr>
  </w:style>
  <w:style w:type="character" w:customStyle="1" w:styleId="19">
    <w:name w:val="标题 5 字符"/>
    <w:basedOn w:val="13"/>
    <w:link w:val="6"/>
    <w:qFormat/>
    <w:uiPriority w:val="9"/>
    <w:rPr>
      <w:rFonts w:ascii="宋体" w:hAnsi="宋体" w:eastAsia="宋体" w:cs="宋体"/>
      <w:b/>
      <w:bCs/>
      <w:kern w:val="0"/>
      <w:sz w:val="20"/>
      <w:szCs w:val="20"/>
    </w:rPr>
  </w:style>
  <w:style w:type="character" w:customStyle="1" w:styleId="20">
    <w:name w:val="population-ceilingprice"/>
    <w:basedOn w:val="13"/>
    <w:qFormat/>
    <w:uiPriority w:val="0"/>
  </w:style>
  <w:style w:type="character" w:customStyle="1" w:styleId="21">
    <w:name w:val="population-projectoverview"/>
    <w:basedOn w:val="13"/>
    <w:qFormat/>
    <w:uiPriority w:val="0"/>
  </w:style>
  <w:style w:type="character" w:customStyle="1" w:styleId="22">
    <w:name w:val="population-hassupplier"/>
    <w:basedOn w:val="13"/>
    <w:qFormat/>
    <w:uiPriority w:val="0"/>
  </w:style>
  <w:style w:type="character" w:customStyle="1" w:styleId="23">
    <w:name w:val="investigation-researchstatus"/>
    <w:basedOn w:val="13"/>
    <w:qFormat/>
    <w:uiPriority w:val="0"/>
  </w:style>
  <w:style w:type="character" w:customStyle="1" w:styleId="24">
    <w:name w:val="implementation-kind"/>
    <w:basedOn w:val="13"/>
    <w:qFormat/>
    <w:uiPriority w:val="0"/>
  </w:style>
  <w:style w:type="character" w:customStyle="1" w:styleId="25">
    <w:name w:val="implementation-purmethod"/>
    <w:basedOn w:val="13"/>
    <w:qFormat/>
    <w:uiPriority w:val="0"/>
  </w:style>
  <w:style w:type="character" w:customStyle="1" w:styleId="26">
    <w:name w:val="implementation-subcontracttotal"/>
    <w:basedOn w:val="13"/>
    <w:qFormat/>
    <w:uiPriority w:val="0"/>
  </w:style>
  <w:style w:type="character" w:customStyle="1" w:styleId="27">
    <w:name w:val="implementation-reservestatus"/>
    <w:basedOn w:val="13"/>
    <w:qFormat/>
    <w:uiPriority w:val="0"/>
  </w:style>
  <w:style w:type="character" w:customStyle="1" w:styleId="28">
    <w:name w:val="implementation-govservice"/>
    <w:basedOn w:val="13"/>
    <w:qFormat/>
    <w:uiPriority w:val="0"/>
  </w:style>
  <w:style w:type="character" w:customStyle="1" w:styleId="29">
    <w:name w:val="implementation-govinfomationstatus"/>
    <w:basedOn w:val="13"/>
    <w:qFormat/>
    <w:uiPriority w:val="0"/>
  </w:style>
  <w:style w:type="character" w:customStyle="1" w:styleId="30">
    <w:name w:val="implementation-sciencestatus"/>
    <w:basedOn w:val="13"/>
    <w:qFormat/>
    <w:uiPriority w:val="0"/>
  </w:style>
  <w:style w:type="character" w:customStyle="1" w:styleId="31">
    <w:name w:val="implementation-pppstatus"/>
    <w:basedOn w:val="13"/>
    <w:qFormat/>
    <w:uiPriority w:val="0"/>
  </w:style>
  <w:style w:type="character" w:customStyle="1" w:styleId="32">
    <w:name w:val="subcontract-legalcontracttype"/>
    <w:basedOn w:val="13"/>
    <w:qFormat/>
    <w:uiPriority w:val="0"/>
  </w:style>
  <w:style w:type="character" w:customStyle="1" w:styleId="33">
    <w:name w:val="subcontract-performperiod"/>
    <w:basedOn w:val="13"/>
    <w:qFormat/>
    <w:uiPriority w:val="0"/>
  </w:style>
  <w:style w:type="character" w:customStyle="1" w:styleId="34">
    <w:name w:val="subcontract-performaddress"/>
    <w:basedOn w:val="13"/>
    <w:uiPriority w:val="0"/>
  </w:style>
  <w:style w:type="character" w:customStyle="1" w:styleId="35">
    <w:name w:val="subcontract-contractpaytype"/>
    <w:basedOn w:val="13"/>
    <w:qFormat/>
    <w:uiPriority w:val="0"/>
  </w:style>
  <w:style w:type="character" w:customStyle="1" w:styleId="36">
    <w:name w:val="subcontract-deliverystandard"/>
    <w:basedOn w:val="13"/>
    <w:qFormat/>
    <w:uiPriority w:val="0"/>
  </w:style>
  <w:style w:type="character" w:customStyle="1" w:styleId="37">
    <w:name w:val="subcontract-maintenance"/>
    <w:basedOn w:val="13"/>
    <w:qFormat/>
    <w:uiPriority w:val="0"/>
  </w:style>
  <w:style w:type="character" w:customStyle="1" w:styleId="38">
    <w:name w:val="subcontract-intellectualproperty"/>
    <w:basedOn w:val="13"/>
    <w:qFormat/>
    <w:uiPriority w:val="0"/>
  </w:style>
  <w:style w:type="character" w:customStyle="1" w:styleId="39">
    <w:name w:val="subcontract-risksharing"/>
    <w:basedOn w:val="13"/>
    <w:uiPriority w:val="0"/>
  </w:style>
  <w:style w:type="character" w:customStyle="1" w:styleId="40">
    <w:name w:val="subcontract-disputeresolution"/>
    <w:basedOn w:val="13"/>
    <w:uiPriority w:val="0"/>
  </w:style>
  <w:style w:type="character" w:customStyle="1" w:styleId="41">
    <w:name w:val="subcontract-otherterms"/>
    <w:basedOn w:val="13"/>
    <w:qFormat/>
    <w:uiPriority w:val="0"/>
  </w:style>
  <w:style w:type="character" w:customStyle="1" w:styleId="42">
    <w:name w:val="subcontract-acceptancetype"/>
    <w:basedOn w:val="13"/>
    <w:qFormat/>
    <w:uiPriority w:val="0"/>
  </w:style>
  <w:style w:type="character" w:customStyle="1" w:styleId="43">
    <w:name w:val="subcontract-invitesupplierstatus"/>
    <w:basedOn w:val="13"/>
    <w:qFormat/>
    <w:uiPriority w:val="0"/>
  </w:style>
  <w:style w:type="character" w:customStyle="1" w:styleId="44">
    <w:name w:val="subcontract-inviteexpertstatus"/>
    <w:basedOn w:val="13"/>
    <w:qFormat/>
    <w:uiPriority w:val="0"/>
  </w:style>
  <w:style w:type="character" w:customStyle="1" w:styleId="45">
    <w:name w:val="subcontract-inviteserviceobjectstatus"/>
    <w:basedOn w:val="13"/>
    <w:qFormat/>
    <w:uiPriority w:val="0"/>
  </w:style>
  <w:style w:type="character" w:customStyle="1" w:styleId="46">
    <w:name w:val="subcontract-professionaldetectionstatus"/>
    <w:basedOn w:val="13"/>
    <w:qFormat/>
    <w:uiPriority w:val="0"/>
  </w:style>
  <w:style w:type="character" w:customStyle="1" w:styleId="47">
    <w:name w:val="subcontract-acceptanceprocesstype"/>
    <w:basedOn w:val="13"/>
    <w:qFormat/>
    <w:uiPriority w:val="0"/>
  </w:style>
  <w:style w:type="character" w:customStyle="1" w:styleId="48">
    <w:name w:val="subcontract-acceptancemethod"/>
    <w:basedOn w:val="13"/>
    <w:qFormat/>
    <w:uiPriority w:val="0"/>
  </w:style>
  <w:style w:type="character" w:customStyle="1" w:styleId="49">
    <w:name w:val="subcontract-otherpreparations"/>
    <w:basedOn w:val="13"/>
    <w:qFormat/>
    <w:uiPriority w:val="0"/>
  </w:style>
  <w:style w:type="character" w:customStyle="1" w:styleId="50">
    <w:name w:val="subcontract-goodscontent"/>
    <w:basedOn w:val="13"/>
    <w:qFormat/>
    <w:uiPriority w:val="0"/>
  </w:style>
  <w:style w:type="character" w:customStyle="1" w:styleId="51">
    <w:name w:val="subcontract-businesscontent"/>
    <w:basedOn w:val="13"/>
    <w:qFormat/>
    <w:uiPriority w:val="0"/>
  </w:style>
  <w:style w:type="character" w:customStyle="1" w:styleId="52">
    <w:name w:val="subcontract-acceptancecriteria"/>
    <w:basedOn w:val="13"/>
    <w:qFormat/>
    <w:uiPriority w:val="0"/>
  </w:style>
  <w:style w:type="character" w:customStyle="1" w:styleId="53">
    <w:name w:val="subcontract-othercontent"/>
    <w:basedOn w:val="13"/>
    <w:qFormat/>
    <w:uiPriority w:val="0"/>
  </w:style>
  <w:style w:type="character" w:customStyle="1" w:styleId="54">
    <w:name w:val="risk-riskresponse"/>
    <w:basedOn w:val="13"/>
    <w:qFormat/>
    <w:uiPriority w:val="0"/>
  </w:style>
  <w:style w:type="paragraph" w:styleId="55">
    <w:name w:val="List Paragraph"/>
    <w:basedOn w:val="1"/>
    <w:qFormat/>
    <w:uiPriority w:val="34"/>
    <w:pPr>
      <w:ind w:firstLine="420" w:firstLineChars="200"/>
    </w:pPr>
  </w:style>
  <w:style w:type="paragraph" w:customStyle="1" w:styleId="56">
    <w:name w:val="_Style 2"/>
    <w:basedOn w:val="1"/>
    <w:qFormat/>
    <w:uiPriority w:val="0"/>
    <w:pPr>
      <w:ind w:firstLine="420" w:firstLineChars="200"/>
    </w:pPr>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7915</Words>
  <Characters>8127</Characters>
  <Lines>120</Lines>
  <Paragraphs>33</Paragraphs>
  <TotalTime>51</TotalTime>
  <ScaleCrop>false</ScaleCrop>
  <LinksUpToDate>false</LinksUpToDate>
  <CharactersWithSpaces>8430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2022-04-25T00:53:00Z</dcterms:created>
  <dc:creator>张灵峻</dc:creator>
  <cp:lastModifiedBy>孔一</cp:lastModifiedBy>
  <dcterms:modified xsi:type="dcterms:W3CDTF">2024-06-11T02:47:31Z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eyJoZGlkIjoiN2RhOGQwZGJkN2U4MDQyNmU4MzY1YzQ1MGVmOWI3YTQifQ==</vt:lpwstr>
  </property>
  <property fmtid="{D5CDD505-2E9C-101B-9397-08002B2CF9AE}" pid="3" name="KSOProductBuildVer">
    <vt:lpwstr>2052-11.1.0.12165</vt:lpwstr>
  </property>
  <property fmtid="{D5CDD505-2E9C-101B-9397-08002B2CF9AE}" pid="4" name="ICV">
    <vt:lpwstr>0BA612EF4AB443CFAF216D10ED76BEE6</vt:lpwstr>
  </property>
</Properties>
</file>